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1B8F3B">
      <w:pPr>
        <w:autoSpaceDE w:val="0"/>
        <w:autoSpaceDN w:val="0"/>
        <w:adjustRightInd w:val="0"/>
        <w:snapToGrid w:val="0"/>
        <w:spacing w:line="360" w:lineRule="auto"/>
        <w:jc w:val="center"/>
        <w:rPr>
          <w:rFonts w:hint="eastAsia" w:ascii="宋体" w:hAnsi="宋体" w:cs="宋体"/>
          <w:b/>
          <w:sz w:val="44"/>
          <w:szCs w:val="44"/>
        </w:rPr>
      </w:pPr>
    </w:p>
    <w:p w14:paraId="3F52B79B">
      <w:pPr>
        <w:autoSpaceDE w:val="0"/>
        <w:autoSpaceDN w:val="0"/>
        <w:adjustRightInd w:val="0"/>
        <w:snapToGrid w:val="0"/>
        <w:spacing w:line="360" w:lineRule="auto"/>
        <w:jc w:val="center"/>
        <w:textAlignment w:val="bottom"/>
        <w:rPr>
          <w:rFonts w:hint="eastAsia" w:ascii="宋体" w:hAnsi="宋体" w:cs="宋体"/>
          <w:b/>
          <w:sz w:val="52"/>
          <w:szCs w:val="52"/>
        </w:rPr>
      </w:pPr>
      <w:r>
        <w:rPr>
          <w:rFonts w:hint="eastAsia" w:ascii="宋体" w:hAnsi="宋体" w:cs="宋体"/>
          <w:b/>
          <w:sz w:val="52"/>
          <w:szCs w:val="52"/>
        </w:rPr>
        <w:t>工艺大厦及蓝领公寓物业服务项目</w:t>
      </w:r>
    </w:p>
    <w:p w14:paraId="635A81BC">
      <w:pPr>
        <w:tabs>
          <w:tab w:val="left" w:pos="0"/>
        </w:tabs>
        <w:adjustRightInd w:val="0"/>
        <w:snapToGrid w:val="0"/>
        <w:spacing w:line="360" w:lineRule="auto"/>
        <w:ind w:firstLine="145" w:firstLineChars="20"/>
        <w:jc w:val="center"/>
        <w:rPr>
          <w:rFonts w:hint="eastAsia" w:ascii="宋体" w:hAnsi="宋体" w:cs="宋体"/>
          <w:b/>
          <w:sz w:val="72"/>
          <w:szCs w:val="72"/>
        </w:rPr>
      </w:pPr>
      <w:r>
        <w:rPr>
          <w:rFonts w:hint="eastAsia" w:ascii="宋体" w:hAnsi="宋体" w:cs="宋体"/>
          <w:b/>
          <w:sz w:val="72"/>
          <w:szCs w:val="72"/>
        </w:rPr>
        <w:drawing>
          <wp:anchor distT="0" distB="0" distL="114300" distR="114300" simplePos="0" relativeHeight="251659264" behindDoc="1" locked="0" layoutInCell="1" allowOverlap="1">
            <wp:simplePos x="0" y="0"/>
            <wp:positionH relativeFrom="column">
              <wp:posOffset>-806450</wp:posOffset>
            </wp:positionH>
            <wp:positionV relativeFrom="page">
              <wp:posOffset>1270</wp:posOffset>
            </wp:positionV>
            <wp:extent cx="7723505" cy="10734040"/>
            <wp:effectExtent l="0" t="0" r="3175" b="10160"/>
            <wp:wrapNone/>
            <wp:docPr id="4" name="图片 22" descr="浙江万汇招标打印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2" descr="浙江万汇招标打印封面"/>
                    <pic:cNvPicPr>
                      <a:picLocks noChangeAspect="1"/>
                    </pic:cNvPicPr>
                  </pic:nvPicPr>
                  <pic:blipFill>
                    <a:blip r:embed="rId8"/>
                    <a:stretch>
                      <a:fillRect/>
                    </a:stretch>
                  </pic:blipFill>
                  <pic:spPr>
                    <a:xfrm>
                      <a:off x="0" y="0"/>
                      <a:ext cx="7723505" cy="10734040"/>
                    </a:xfrm>
                    <a:prstGeom prst="rect">
                      <a:avLst/>
                    </a:prstGeom>
                    <a:noFill/>
                    <a:ln>
                      <a:noFill/>
                    </a:ln>
                  </pic:spPr>
                </pic:pic>
              </a:graphicData>
            </a:graphic>
          </wp:anchor>
        </w:drawing>
      </w:r>
      <w:r>
        <w:rPr>
          <w:rFonts w:hint="eastAsia" w:ascii="宋体" w:hAnsi="宋体" w:cs="宋体"/>
          <w:b/>
          <w:sz w:val="72"/>
          <w:szCs w:val="72"/>
        </w:rPr>
        <w:t>公开招标文件</w:t>
      </w:r>
    </w:p>
    <w:p w14:paraId="222FEDA1">
      <w:pPr>
        <w:adjustRightInd w:val="0"/>
        <w:snapToGrid w:val="0"/>
        <w:spacing w:line="360" w:lineRule="auto"/>
        <w:jc w:val="center"/>
        <w:rPr>
          <w:rFonts w:hint="eastAsia" w:ascii="宋体" w:hAnsi="宋体" w:cs="宋体"/>
          <w:b/>
          <w:bCs/>
          <w:sz w:val="30"/>
          <w:szCs w:val="30"/>
        </w:rPr>
      </w:pPr>
      <w:r>
        <w:rPr>
          <w:rFonts w:hint="eastAsia" w:ascii="仿宋" w:hAnsi="仿宋" w:eastAsia="仿宋" w:cs="仿宋"/>
          <w:b/>
          <w:color w:val="000000" w:themeColor="text1"/>
          <w:sz w:val="44"/>
          <w:szCs w:val="44"/>
          <w14:textFill>
            <w14:solidFill>
              <w14:schemeClr w14:val="tx1"/>
            </w14:solidFill>
          </w14:textFill>
        </w:rPr>
        <w:t>（电子招投标）</w:t>
      </w:r>
    </w:p>
    <w:p w14:paraId="23BBF548">
      <w:pPr>
        <w:adjustRightInd w:val="0"/>
        <w:snapToGrid w:val="0"/>
        <w:spacing w:line="360" w:lineRule="auto"/>
        <w:rPr>
          <w:rFonts w:hint="eastAsia" w:ascii="宋体" w:hAnsi="宋体" w:cs="宋体"/>
          <w:b/>
          <w:bCs/>
          <w:sz w:val="30"/>
          <w:szCs w:val="30"/>
        </w:rPr>
      </w:pPr>
    </w:p>
    <w:p w14:paraId="7CBDA30B">
      <w:pPr>
        <w:autoSpaceDE w:val="0"/>
        <w:autoSpaceDN w:val="0"/>
        <w:adjustRightInd w:val="0"/>
        <w:snapToGrid w:val="0"/>
        <w:spacing w:line="360" w:lineRule="auto"/>
        <w:jc w:val="center"/>
        <w:rPr>
          <w:rFonts w:hint="eastAsia" w:ascii="宋体" w:hAnsi="宋体" w:cs="宋体"/>
          <w:b/>
          <w:sz w:val="30"/>
          <w:szCs w:val="30"/>
        </w:rPr>
      </w:pPr>
      <w:r>
        <w:rPr>
          <w:rFonts w:hint="eastAsia" w:ascii="宋体" w:hAnsi="宋体" w:cs="宋体"/>
          <w:b/>
          <w:bCs/>
          <w:sz w:val="30"/>
          <w:szCs w:val="30"/>
        </w:rPr>
        <w:t>项目编号：WHZB2026-HZCG003</w:t>
      </w:r>
    </w:p>
    <w:p w14:paraId="1224DFAD">
      <w:pPr>
        <w:pStyle w:val="19"/>
        <w:rPr>
          <w:rFonts w:hint="eastAsia" w:ascii="宋体" w:hAnsi="宋体" w:cs="宋体"/>
          <w:b/>
          <w:sz w:val="30"/>
          <w:szCs w:val="30"/>
        </w:rPr>
      </w:pPr>
    </w:p>
    <w:p w14:paraId="2BA59AEF">
      <w:pPr>
        <w:pStyle w:val="19"/>
        <w:rPr>
          <w:rFonts w:hint="eastAsia" w:ascii="宋体" w:hAnsi="宋体" w:cs="宋体"/>
          <w:b/>
          <w:sz w:val="30"/>
          <w:szCs w:val="30"/>
        </w:rPr>
      </w:pPr>
    </w:p>
    <w:p w14:paraId="0B358750">
      <w:pPr>
        <w:pStyle w:val="19"/>
        <w:rPr>
          <w:rFonts w:hint="eastAsia" w:ascii="宋体" w:hAnsi="宋体" w:cs="宋体"/>
          <w:b/>
          <w:sz w:val="30"/>
          <w:szCs w:val="30"/>
        </w:rPr>
      </w:pPr>
    </w:p>
    <w:p w14:paraId="1F94BC4A">
      <w:pPr>
        <w:pStyle w:val="19"/>
        <w:rPr>
          <w:rFonts w:hint="eastAsia" w:ascii="宋体" w:hAnsi="宋体" w:cs="宋体"/>
          <w:b/>
          <w:sz w:val="30"/>
          <w:szCs w:val="30"/>
        </w:rPr>
      </w:pPr>
    </w:p>
    <w:p w14:paraId="28082D83">
      <w:pPr>
        <w:pStyle w:val="19"/>
        <w:rPr>
          <w:rFonts w:hint="eastAsia" w:ascii="宋体" w:hAnsi="宋体" w:cs="宋体"/>
          <w:b/>
          <w:sz w:val="30"/>
          <w:szCs w:val="30"/>
        </w:rPr>
      </w:pPr>
    </w:p>
    <w:p w14:paraId="5CC6D121">
      <w:pPr>
        <w:pStyle w:val="19"/>
        <w:rPr>
          <w:rFonts w:hint="eastAsia" w:ascii="宋体" w:hAnsi="宋体" w:cs="宋体"/>
          <w:b/>
          <w:sz w:val="30"/>
          <w:szCs w:val="30"/>
        </w:rPr>
      </w:pPr>
    </w:p>
    <w:p w14:paraId="5251D753">
      <w:pPr>
        <w:pStyle w:val="19"/>
        <w:rPr>
          <w:rFonts w:hint="eastAsia" w:ascii="宋体" w:hAnsi="宋体" w:cs="宋体"/>
          <w:b/>
          <w:sz w:val="30"/>
          <w:szCs w:val="30"/>
        </w:rPr>
      </w:pPr>
    </w:p>
    <w:p w14:paraId="28BE5A0E">
      <w:pPr>
        <w:pStyle w:val="19"/>
        <w:rPr>
          <w:rFonts w:hint="eastAsia" w:ascii="宋体" w:hAnsi="宋体" w:cs="宋体"/>
          <w:b/>
          <w:sz w:val="30"/>
          <w:szCs w:val="30"/>
        </w:rPr>
      </w:pPr>
    </w:p>
    <w:p w14:paraId="299188D4">
      <w:pPr>
        <w:pStyle w:val="19"/>
        <w:jc w:val="center"/>
        <w:rPr>
          <w:rFonts w:hint="eastAsia" w:ascii="宋体" w:hAnsi="宋体" w:cs="宋体"/>
          <w:b/>
          <w:sz w:val="30"/>
          <w:szCs w:val="30"/>
        </w:rPr>
      </w:pPr>
    </w:p>
    <w:p w14:paraId="4F3AFA44">
      <w:pPr>
        <w:pStyle w:val="19"/>
        <w:jc w:val="center"/>
        <w:rPr>
          <w:rFonts w:hint="eastAsia" w:ascii="宋体" w:hAnsi="宋体" w:cs="宋体"/>
          <w:b/>
          <w:sz w:val="30"/>
          <w:szCs w:val="30"/>
        </w:rPr>
      </w:pPr>
    </w:p>
    <w:p w14:paraId="249FE6F6">
      <w:pPr>
        <w:pStyle w:val="19"/>
        <w:jc w:val="center"/>
        <w:rPr>
          <w:rFonts w:hint="eastAsia" w:ascii="宋体" w:hAnsi="宋体" w:cs="宋体"/>
          <w:b/>
          <w:sz w:val="30"/>
          <w:szCs w:val="30"/>
        </w:rPr>
      </w:pPr>
    </w:p>
    <w:p w14:paraId="256C2032">
      <w:pPr>
        <w:pStyle w:val="19"/>
        <w:jc w:val="center"/>
        <w:rPr>
          <w:rFonts w:hint="eastAsia" w:ascii="宋体" w:hAnsi="宋体" w:cs="宋体"/>
          <w:b/>
          <w:sz w:val="32"/>
          <w:szCs w:val="32"/>
        </w:rPr>
      </w:pPr>
      <w:r>
        <w:rPr>
          <w:rFonts w:hint="eastAsia" w:ascii="宋体" w:hAnsi="宋体" w:cs="宋体"/>
          <w:b/>
          <w:sz w:val="32"/>
          <w:szCs w:val="32"/>
        </w:rPr>
        <w:t>浙江艺诚物业管理有限公司</w:t>
      </w:r>
    </w:p>
    <w:p w14:paraId="401BD3D0">
      <w:pPr>
        <w:pStyle w:val="19"/>
        <w:jc w:val="center"/>
        <w:rPr>
          <w:rFonts w:hint="eastAsia" w:ascii="宋体" w:hAnsi="宋体" w:cs="宋体"/>
          <w:b/>
          <w:sz w:val="32"/>
          <w:szCs w:val="32"/>
        </w:rPr>
      </w:pPr>
      <w:r>
        <w:rPr>
          <w:rFonts w:hint="eastAsia" w:ascii="宋体" w:hAnsi="宋体" w:cs="宋体"/>
          <w:b/>
          <w:sz w:val="32"/>
          <w:szCs w:val="32"/>
        </w:rPr>
        <w:t>浙江万汇招标代理有限公司</w:t>
      </w:r>
    </w:p>
    <w:p w14:paraId="0699AE81">
      <w:pPr>
        <w:pStyle w:val="19"/>
        <w:jc w:val="center"/>
        <w:rPr>
          <w:rFonts w:hint="eastAsia" w:ascii="宋体" w:hAnsi="宋体" w:cs="宋体"/>
          <w:b/>
          <w:sz w:val="32"/>
          <w:szCs w:val="32"/>
        </w:rPr>
      </w:pPr>
      <w:r>
        <w:rPr>
          <w:rFonts w:hint="eastAsia" w:ascii="宋体" w:hAnsi="宋体" w:cs="宋体"/>
          <w:b/>
          <w:sz w:val="32"/>
          <w:szCs w:val="32"/>
        </w:rPr>
        <w:t>二〇二六年五月</w:t>
      </w:r>
    </w:p>
    <w:p w14:paraId="50C83978">
      <w:pPr>
        <w:adjustRightInd w:val="0"/>
        <w:snapToGrid w:val="0"/>
        <w:spacing w:line="360" w:lineRule="auto"/>
        <w:jc w:val="center"/>
        <w:rPr>
          <w:rFonts w:hint="eastAsia" w:ascii="宋体" w:hAnsi="宋体" w:cs="宋体"/>
          <w:b/>
          <w:bCs/>
          <w:sz w:val="30"/>
          <w:szCs w:val="30"/>
        </w:rPr>
      </w:pPr>
    </w:p>
    <w:p w14:paraId="2C5189AF">
      <w:pPr>
        <w:adjustRightInd w:val="0"/>
        <w:snapToGrid w:val="0"/>
        <w:spacing w:line="360" w:lineRule="auto"/>
        <w:jc w:val="center"/>
        <w:rPr>
          <w:rFonts w:hint="eastAsia" w:ascii="宋体" w:hAnsi="宋体" w:cs="宋体"/>
          <w:b/>
          <w:bCs/>
          <w:sz w:val="30"/>
          <w:szCs w:val="30"/>
        </w:rPr>
      </w:pPr>
    </w:p>
    <w:p w14:paraId="4F1BD74A">
      <w:pPr>
        <w:snapToGrid w:val="0"/>
        <w:spacing w:line="360" w:lineRule="auto"/>
        <w:jc w:val="center"/>
        <w:rPr>
          <w:rFonts w:hint="eastAsia" w:ascii="宋体" w:hAnsi="宋体" w:cs="宋体"/>
          <w:b/>
          <w:bCs/>
          <w:sz w:val="44"/>
          <w:szCs w:val="44"/>
        </w:rPr>
        <w:sectPr>
          <w:footerReference r:id="rId4" w:type="first"/>
          <w:footerReference r:id="rId3" w:type="default"/>
          <w:pgSz w:w="11906" w:h="16838"/>
          <w:pgMar w:top="1247" w:right="1247" w:bottom="1247" w:left="1247" w:header="720" w:footer="720" w:gutter="0"/>
          <w:cols w:space="720" w:num="1"/>
          <w:titlePg/>
          <w:docGrid w:linePitch="286" w:charSpace="-3831"/>
        </w:sectPr>
      </w:pPr>
    </w:p>
    <w:p w14:paraId="7A1F0E1E">
      <w:pPr>
        <w:snapToGrid w:val="0"/>
        <w:spacing w:line="360" w:lineRule="auto"/>
        <w:jc w:val="center"/>
        <w:rPr>
          <w:rFonts w:hint="eastAsia" w:ascii="宋体" w:hAnsi="宋体" w:cs="宋体"/>
          <w:b/>
          <w:bCs/>
          <w:sz w:val="44"/>
          <w:szCs w:val="44"/>
        </w:rPr>
      </w:pPr>
      <w:r>
        <w:rPr>
          <w:rFonts w:hint="eastAsia" w:ascii="宋体" w:hAnsi="宋体" w:cs="宋体"/>
          <w:b/>
          <w:bCs/>
          <w:sz w:val="44"/>
          <w:szCs w:val="44"/>
        </w:rPr>
        <w:t>目  录</w:t>
      </w:r>
    </w:p>
    <w:p w14:paraId="146D85BE">
      <w:pPr>
        <w:pStyle w:val="31"/>
        <w:tabs>
          <w:tab w:val="right" w:leader="dot" w:pos="9070"/>
          <w:tab w:val="clear" w:pos="9403"/>
        </w:tabs>
        <w:spacing w:line="600" w:lineRule="auto"/>
        <w:rPr>
          <w:sz w:val="24"/>
        </w:rPr>
      </w:pPr>
      <w:r>
        <w:rPr>
          <w:rFonts w:hint="eastAsia" w:ascii="宋体" w:hAnsi="宋体" w:cs="宋体"/>
          <w:sz w:val="24"/>
        </w:rPr>
        <w:fldChar w:fldCharType="begin"/>
      </w:r>
      <w:r>
        <w:rPr>
          <w:rFonts w:hint="eastAsia" w:ascii="宋体" w:hAnsi="宋体" w:cs="宋体"/>
          <w:sz w:val="24"/>
        </w:rPr>
        <w:instrText xml:space="preserve"> TOC \o "1-2" \h \z </w:instrText>
      </w:r>
      <w:r>
        <w:rPr>
          <w:rFonts w:hint="eastAsia" w:ascii="宋体" w:hAnsi="宋体" w:cs="宋体"/>
          <w:sz w:val="24"/>
        </w:rPr>
        <w:fldChar w:fldCharType="separate"/>
      </w:r>
      <w:r>
        <w:fldChar w:fldCharType="begin"/>
      </w:r>
      <w:r>
        <w:instrText xml:space="preserve"> HYPERLINK \l "_Toc31224" </w:instrText>
      </w:r>
      <w:r>
        <w:fldChar w:fldCharType="separate"/>
      </w:r>
      <w:r>
        <w:rPr>
          <w:rFonts w:hint="eastAsia" w:ascii="宋体" w:hAnsi="宋体" w:cs="宋体"/>
          <w:sz w:val="24"/>
        </w:rPr>
        <w:t>第一章  公开招标公告</w:t>
      </w:r>
      <w:r>
        <w:rPr>
          <w:sz w:val="24"/>
        </w:rPr>
        <w:tab/>
      </w:r>
      <w:r>
        <w:rPr>
          <w:sz w:val="24"/>
        </w:rPr>
        <w:fldChar w:fldCharType="begin"/>
      </w:r>
      <w:r>
        <w:rPr>
          <w:sz w:val="24"/>
        </w:rPr>
        <w:instrText xml:space="preserve"> PAGEREF _Toc31224 \h </w:instrText>
      </w:r>
      <w:r>
        <w:rPr>
          <w:sz w:val="24"/>
        </w:rPr>
        <w:fldChar w:fldCharType="separate"/>
      </w:r>
      <w:r>
        <w:rPr>
          <w:sz w:val="24"/>
        </w:rPr>
        <w:t>2</w:t>
      </w:r>
      <w:r>
        <w:rPr>
          <w:sz w:val="24"/>
        </w:rPr>
        <w:fldChar w:fldCharType="end"/>
      </w:r>
      <w:r>
        <w:rPr>
          <w:sz w:val="24"/>
        </w:rPr>
        <w:fldChar w:fldCharType="end"/>
      </w:r>
    </w:p>
    <w:p w14:paraId="48B092C7">
      <w:pPr>
        <w:pStyle w:val="31"/>
        <w:tabs>
          <w:tab w:val="right" w:leader="dot" w:pos="9070"/>
          <w:tab w:val="clear" w:pos="9403"/>
        </w:tabs>
        <w:spacing w:line="600" w:lineRule="auto"/>
        <w:rPr>
          <w:rFonts w:hint="eastAsia" w:ascii="宋体" w:hAnsi="宋体" w:cs="宋体"/>
          <w:bCs w:val="0"/>
          <w:sz w:val="24"/>
        </w:rPr>
      </w:pPr>
      <w:r>
        <w:fldChar w:fldCharType="begin"/>
      </w:r>
      <w:r>
        <w:instrText xml:space="preserve"> HYPERLINK \l "_Toc5381" </w:instrText>
      </w:r>
      <w:r>
        <w:fldChar w:fldCharType="separate"/>
      </w:r>
      <w:r>
        <w:rPr>
          <w:rFonts w:hint="eastAsia" w:ascii="宋体" w:hAnsi="宋体" w:cs="宋体"/>
          <w:sz w:val="24"/>
        </w:rPr>
        <w:t>第二章  供应商须知</w:t>
      </w:r>
      <w:r>
        <w:rPr>
          <w:sz w:val="24"/>
        </w:rPr>
        <w:tab/>
      </w:r>
      <w:r>
        <w:rPr>
          <w:sz w:val="24"/>
        </w:rPr>
        <w:fldChar w:fldCharType="begin"/>
      </w:r>
      <w:r>
        <w:rPr>
          <w:sz w:val="24"/>
        </w:rPr>
        <w:instrText xml:space="preserve"> PAGEREF _Toc5381 \h </w:instrText>
      </w:r>
      <w:r>
        <w:rPr>
          <w:sz w:val="24"/>
        </w:rPr>
        <w:fldChar w:fldCharType="separate"/>
      </w:r>
      <w:r>
        <w:rPr>
          <w:rFonts w:hint="eastAsia"/>
          <w:sz w:val="24"/>
        </w:rPr>
        <w:t>5</w:t>
      </w:r>
      <w:r>
        <w:rPr>
          <w:sz w:val="24"/>
        </w:rPr>
        <w:fldChar w:fldCharType="end"/>
      </w:r>
      <w:r>
        <w:rPr>
          <w:sz w:val="24"/>
        </w:rPr>
        <w:fldChar w:fldCharType="end"/>
      </w:r>
    </w:p>
    <w:p w14:paraId="38FBC472">
      <w:pPr>
        <w:pStyle w:val="31"/>
        <w:tabs>
          <w:tab w:val="right" w:leader="dot" w:pos="9070"/>
          <w:tab w:val="clear" w:pos="9403"/>
        </w:tabs>
        <w:spacing w:line="600" w:lineRule="auto"/>
        <w:rPr>
          <w:sz w:val="24"/>
        </w:rPr>
      </w:pPr>
      <w:r>
        <w:fldChar w:fldCharType="begin"/>
      </w:r>
      <w:r>
        <w:instrText xml:space="preserve"> HYPERLINK \l "_Toc5381" </w:instrText>
      </w:r>
      <w:r>
        <w:fldChar w:fldCharType="separate"/>
      </w:r>
      <w:r>
        <w:rPr>
          <w:rFonts w:hint="eastAsia" w:ascii="宋体" w:hAnsi="宋体" w:cs="宋体"/>
          <w:sz w:val="24"/>
        </w:rPr>
        <w:t>第三章  采购内容及需求</w:t>
      </w:r>
      <w:r>
        <w:rPr>
          <w:sz w:val="24"/>
        </w:rPr>
        <w:tab/>
      </w:r>
      <w:r>
        <w:rPr>
          <w:sz w:val="24"/>
        </w:rPr>
        <w:fldChar w:fldCharType="begin"/>
      </w:r>
      <w:r>
        <w:rPr>
          <w:sz w:val="24"/>
        </w:rPr>
        <w:instrText xml:space="preserve"> PAGEREF _Toc5381 \h </w:instrText>
      </w:r>
      <w:r>
        <w:rPr>
          <w:sz w:val="24"/>
        </w:rPr>
        <w:fldChar w:fldCharType="separate"/>
      </w:r>
      <w:r>
        <w:rPr>
          <w:sz w:val="24"/>
        </w:rPr>
        <w:t>16</w:t>
      </w:r>
      <w:r>
        <w:rPr>
          <w:sz w:val="24"/>
        </w:rPr>
        <w:fldChar w:fldCharType="end"/>
      </w:r>
      <w:r>
        <w:rPr>
          <w:sz w:val="24"/>
        </w:rPr>
        <w:fldChar w:fldCharType="end"/>
      </w:r>
    </w:p>
    <w:p w14:paraId="2DAC0F53">
      <w:pPr>
        <w:pStyle w:val="31"/>
        <w:tabs>
          <w:tab w:val="right" w:leader="dot" w:pos="9070"/>
          <w:tab w:val="clear" w:pos="9403"/>
        </w:tabs>
        <w:spacing w:line="600" w:lineRule="auto"/>
        <w:rPr>
          <w:sz w:val="24"/>
        </w:rPr>
      </w:pPr>
      <w:r>
        <w:fldChar w:fldCharType="begin"/>
      </w:r>
      <w:r>
        <w:instrText xml:space="preserve"> HYPERLINK \l "_Toc13795" </w:instrText>
      </w:r>
      <w:r>
        <w:fldChar w:fldCharType="separate"/>
      </w:r>
      <w:r>
        <w:rPr>
          <w:rFonts w:hint="eastAsia" w:ascii="宋体" w:hAnsi="宋体" w:cs="宋体"/>
          <w:sz w:val="24"/>
        </w:rPr>
        <w:t>第四章  评审办法</w:t>
      </w:r>
      <w:r>
        <w:rPr>
          <w:sz w:val="24"/>
        </w:rPr>
        <w:tab/>
      </w:r>
      <w:r>
        <w:rPr>
          <w:sz w:val="24"/>
        </w:rPr>
        <w:fldChar w:fldCharType="begin"/>
      </w:r>
      <w:r>
        <w:rPr>
          <w:sz w:val="24"/>
        </w:rPr>
        <w:instrText xml:space="preserve"> PAGEREF _Toc13795 \h </w:instrText>
      </w:r>
      <w:r>
        <w:rPr>
          <w:sz w:val="24"/>
        </w:rPr>
        <w:fldChar w:fldCharType="separate"/>
      </w:r>
      <w:r>
        <w:rPr>
          <w:sz w:val="24"/>
        </w:rPr>
        <w:t>18</w:t>
      </w:r>
      <w:r>
        <w:rPr>
          <w:sz w:val="24"/>
        </w:rPr>
        <w:fldChar w:fldCharType="end"/>
      </w:r>
      <w:r>
        <w:rPr>
          <w:sz w:val="24"/>
        </w:rPr>
        <w:fldChar w:fldCharType="end"/>
      </w:r>
    </w:p>
    <w:p w14:paraId="3CD4A8B0">
      <w:pPr>
        <w:pStyle w:val="31"/>
        <w:tabs>
          <w:tab w:val="right" w:leader="dot" w:pos="9070"/>
          <w:tab w:val="clear" w:pos="9403"/>
        </w:tabs>
        <w:spacing w:line="600" w:lineRule="auto"/>
        <w:rPr>
          <w:sz w:val="24"/>
        </w:rPr>
      </w:pPr>
      <w:r>
        <w:fldChar w:fldCharType="begin"/>
      </w:r>
      <w:r>
        <w:instrText xml:space="preserve"> HYPERLINK \l "_Toc11434" </w:instrText>
      </w:r>
      <w:r>
        <w:fldChar w:fldCharType="separate"/>
      </w:r>
      <w:r>
        <w:rPr>
          <w:rFonts w:hint="eastAsia" w:ascii="宋体" w:hAnsi="宋体" w:cs="宋体"/>
          <w:sz w:val="24"/>
        </w:rPr>
        <w:t>第五章  采购合同</w:t>
      </w:r>
      <w:r>
        <w:rPr>
          <w:sz w:val="24"/>
        </w:rPr>
        <w:tab/>
      </w:r>
      <w:r>
        <w:rPr>
          <w:sz w:val="24"/>
        </w:rPr>
        <w:fldChar w:fldCharType="begin"/>
      </w:r>
      <w:r>
        <w:rPr>
          <w:sz w:val="24"/>
        </w:rPr>
        <w:instrText xml:space="preserve"> PAGEREF _Toc11434 \h </w:instrText>
      </w:r>
      <w:r>
        <w:rPr>
          <w:sz w:val="24"/>
        </w:rPr>
        <w:fldChar w:fldCharType="separate"/>
      </w:r>
      <w:r>
        <w:rPr>
          <w:sz w:val="24"/>
        </w:rPr>
        <w:t>25</w:t>
      </w:r>
      <w:r>
        <w:rPr>
          <w:sz w:val="24"/>
        </w:rPr>
        <w:fldChar w:fldCharType="end"/>
      </w:r>
      <w:r>
        <w:rPr>
          <w:sz w:val="24"/>
        </w:rPr>
        <w:fldChar w:fldCharType="end"/>
      </w:r>
    </w:p>
    <w:p w14:paraId="455830FE">
      <w:pPr>
        <w:pStyle w:val="31"/>
        <w:tabs>
          <w:tab w:val="right" w:leader="dot" w:pos="9070"/>
          <w:tab w:val="clear" w:pos="9403"/>
        </w:tabs>
        <w:spacing w:line="600" w:lineRule="auto"/>
        <w:rPr>
          <w:sz w:val="24"/>
        </w:rPr>
      </w:pPr>
      <w:r>
        <w:fldChar w:fldCharType="begin"/>
      </w:r>
      <w:r>
        <w:instrText xml:space="preserve"> HYPERLINK \l "_Toc14920" </w:instrText>
      </w:r>
      <w:r>
        <w:fldChar w:fldCharType="separate"/>
      </w:r>
      <w:r>
        <w:rPr>
          <w:rFonts w:hint="eastAsia" w:ascii="宋体" w:hAnsi="宋体" w:cs="宋体"/>
          <w:sz w:val="24"/>
        </w:rPr>
        <w:t>第六章  响应文件格式</w:t>
      </w:r>
      <w:r>
        <w:rPr>
          <w:sz w:val="24"/>
        </w:rPr>
        <w:tab/>
      </w:r>
      <w:r>
        <w:rPr>
          <w:sz w:val="24"/>
        </w:rPr>
        <w:fldChar w:fldCharType="begin"/>
      </w:r>
      <w:r>
        <w:rPr>
          <w:sz w:val="24"/>
        </w:rPr>
        <w:instrText xml:space="preserve"> PAGEREF _Toc14920 \h </w:instrText>
      </w:r>
      <w:r>
        <w:rPr>
          <w:sz w:val="24"/>
        </w:rPr>
        <w:fldChar w:fldCharType="separate"/>
      </w:r>
      <w:r>
        <w:rPr>
          <w:sz w:val="24"/>
        </w:rPr>
        <w:t>30</w:t>
      </w:r>
      <w:r>
        <w:rPr>
          <w:sz w:val="24"/>
        </w:rPr>
        <w:fldChar w:fldCharType="end"/>
      </w:r>
      <w:r>
        <w:rPr>
          <w:sz w:val="24"/>
        </w:rPr>
        <w:fldChar w:fldCharType="end"/>
      </w:r>
    </w:p>
    <w:p w14:paraId="635C5DEF">
      <w:pPr>
        <w:spacing w:line="600" w:lineRule="auto"/>
        <w:rPr>
          <w:rFonts w:hint="eastAsia" w:ascii="宋体" w:hAnsi="宋体" w:cs="宋体"/>
          <w:b/>
          <w:bCs/>
          <w:sz w:val="24"/>
        </w:rPr>
      </w:pPr>
      <w:r>
        <w:rPr>
          <w:rFonts w:hint="eastAsia" w:ascii="宋体" w:hAnsi="宋体" w:cs="宋体"/>
          <w:bCs/>
          <w:sz w:val="24"/>
        </w:rPr>
        <w:fldChar w:fldCharType="end"/>
      </w:r>
    </w:p>
    <w:p w14:paraId="698C759C">
      <w:pPr>
        <w:pStyle w:val="3"/>
        <w:rPr>
          <w:rFonts w:hint="eastAsia" w:ascii="宋体" w:hAnsi="宋体" w:cs="宋体"/>
          <w:color w:val="auto"/>
        </w:rPr>
      </w:pPr>
      <w:bookmarkStart w:id="0" w:name="_Toc293343927"/>
      <w:r>
        <w:rPr>
          <w:rFonts w:hint="eastAsia" w:ascii="宋体" w:hAnsi="宋体" w:cs="宋体"/>
          <w:color w:val="auto"/>
        </w:rPr>
        <w:br w:type="page"/>
      </w:r>
      <w:bookmarkStart w:id="1" w:name="_Toc31224"/>
      <w:r>
        <w:rPr>
          <w:rFonts w:hint="eastAsia" w:ascii="宋体" w:hAnsi="宋体" w:cs="宋体"/>
          <w:color w:val="auto"/>
        </w:rPr>
        <w:t xml:space="preserve">第一章  </w:t>
      </w:r>
      <w:bookmarkEnd w:id="0"/>
      <w:bookmarkEnd w:id="1"/>
      <w:r>
        <w:rPr>
          <w:rFonts w:hint="eastAsia" w:ascii="宋体" w:hAnsi="宋体" w:cs="宋体"/>
          <w:color w:val="auto"/>
        </w:rPr>
        <w:t>公开招标公告</w:t>
      </w:r>
    </w:p>
    <w:p w14:paraId="4C88CF11">
      <w:pPr>
        <w:widowControl/>
        <w:spacing w:line="360" w:lineRule="auto"/>
        <w:ind w:firstLine="420" w:firstLineChars="200"/>
        <w:jc w:val="left"/>
        <w:rPr>
          <w:rFonts w:hint="eastAsia" w:ascii="宋体" w:hAnsi="宋体" w:cs="宋体"/>
          <w:kern w:val="0"/>
          <w:szCs w:val="21"/>
        </w:rPr>
      </w:pPr>
      <w:bookmarkStart w:id="2" w:name="_Toc211745565"/>
      <w:bookmarkStart w:id="3" w:name="_Toc82338233"/>
      <w:bookmarkStart w:id="4" w:name="_Toc273624872"/>
      <w:bookmarkStart w:id="5" w:name="_Toc82873316"/>
      <w:r>
        <w:rPr>
          <w:rFonts w:hint="eastAsia" w:ascii="宋体" w:hAnsi="宋体" w:cs="宋体"/>
          <w:kern w:val="0"/>
          <w:szCs w:val="21"/>
        </w:rPr>
        <w:t>根据相关法律法规规定，浙江万汇招标代理有限公司受浙江艺诚物业管理有限公司委托，以公开招标的方式就</w:t>
      </w:r>
      <w:r>
        <w:rPr>
          <w:rFonts w:hint="eastAsia" w:ascii="宋体" w:hAnsi="宋体" w:cs="宋体"/>
          <w:szCs w:val="21"/>
        </w:rPr>
        <w:t>工艺大厦及蓝领公寓物业服务项目</w:t>
      </w:r>
      <w:r>
        <w:rPr>
          <w:rFonts w:hint="eastAsia" w:ascii="宋体" w:hAnsi="宋体" w:cs="宋体"/>
          <w:kern w:val="0"/>
          <w:szCs w:val="21"/>
        </w:rPr>
        <w:t>组织采购，欢迎国内合格的供应商前来参加投标。</w:t>
      </w:r>
    </w:p>
    <w:p w14:paraId="377CA082">
      <w:pPr>
        <w:widowControl/>
        <w:spacing w:line="360" w:lineRule="auto"/>
        <w:ind w:firstLine="422" w:firstLineChars="200"/>
        <w:jc w:val="left"/>
        <w:rPr>
          <w:rFonts w:hint="eastAsia" w:ascii="宋体" w:hAnsi="宋体" w:cs="宋体"/>
          <w:b/>
          <w:bCs/>
          <w:kern w:val="0"/>
          <w:szCs w:val="21"/>
        </w:rPr>
      </w:pPr>
      <w:r>
        <w:rPr>
          <w:rFonts w:hint="eastAsia" w:ascii="宋体" w:hAnsi="宋体" w:cs="宋体"/>
          <w:b/>
          <w:bCs/>
          <w:kern w:val="0"/>
          <w:szCs w:val="21"/>
        </w:rPr>
        <w:t xml:space="preserve">一、项目基本情况                                            </w:t>
      </w:r>
    </w:p>
    <w:p w14:paraId="43267331">
      <w:pPr>
        <w:widowControl/>
        <w:spacing w:line="360" w:lineRule="auto"/>
        <w:ind w:firstLine="422" w:firstLineChars="200"/>
        <w:jc w:val="left"/>
        <w:rPr>
          <w:rFonts w:hint="eastAsia" w:ascii="宋体" w:hAnsi="宋体" w:cs="宋体"/>
          <w:kern w:val="0"/>
          <w:szCs w:val="21"/>
        </w:rPr>
      </w:pPr>
      <w:r>
        <w:rPr>
          <w:rFonts w:hint="eastAsia" w:ascii="宋体" w:hAnsi="宋体" w:cs="宋体"/>
          <w:b/>
          <w:bCs/>
          <w:kern w:val="0"/>
          <w:szCs w:val="21"/>
        </w:rPr>
        <w:t>项目编号：</w:t>
      </w:r>
      <w:r>
        <w:rPr>
          <w:rFonts w:hint="eastAsia" w:ascii="宋体" w:hAnsi="宋体" w:cs="宋体"/>
          <w:kern w:val="0"/>
          <w:szCs w:val="21"/>
        </w:rPr>
        <w:t>WHZB2026-HZCG003</w:t>
      </w:r>
    </w:p>
    <w:p w14:paraId="351E0215">
      <w:pPr>
        <w:widowControl/>
        <w:spacing w:line="360" w:lineRule="auto"/>
        <w:ind w:firstLine="422" w:firstLineChars="200"/>
        <w:jc w:val="left"/>
        <w:rPr>
          <w:rFonts w:hint="eastAsia" w:ascii="宋体" w:hAnsi="宋体" w:cs="宋体"/>
          <w:kern w:val="0"/>
          <w:szCs w:val="21"/>
        </w:rPr>
      </w:pPr>
      <w:r>
        <w:rPr>
          <w:rFonts w:hint="eastAsia" w:ascii="宋体" w:hAnsi="宋体" w:cs="宋体"/>
          <w:b/>
          <w:bCs/>
          <w:kern w:val="0"/>
          <w:szCs w:val="21"/>
        </w:rPr>
        <w:t>项目名称：</w:t>
      </w:r>
      <w:r>
        <w:rPr>
          <w:rFonts w:hint="eastAsia" w:ascii="宋体" w:hAnsi="宋体" w:cs="宋体"/>
          <w:szCs w:val="21"/>
        </w:rPr>
        <w:t>工艺大厦及蓝领公寓物业服务项目</w:t>
      </w:r>
    </w:p>
    <w:p w14:paraId="5B42ACF4">
      <w:pPr>
        <w:widowControl/>
        <w:spacing w:line="360" w:lineRule="auto"/>
        <w:ind w:firstLine="422" w:firstLineChars="200"/>
        <w:jc w:val="left"/>
        <w:rPr>
          <w:rFonts w:hint="eastAsia" w:ascii="宋体" w:hAnsi="宋体" w:cs="宋体"/>
          <w:kern w:val="0"/>
          <w:szCs w:val="21"/>
        </w:rPr>
      </w:pPr>
      <w:r>
        <w:rPr>
          <w:rFonts w:hint="eastAsia" w:ascii="宋体" w:hAnsi="宋体" w:cs="宋体"/>
          <w:b/>
          <w:bCs/>
          <w:kern w:val="0"/>
          <w:szCs w:val="21"/>
        </w:rPr>
        <w:t>预算金额（元）</w:t>
      </w:r>
      <w:r>
        <w:rPr>
          <w:rFonts w:hint="eastAsia" w:ascii="宋体" w:hAnsi="宋体" w:cs="宋体"/>
          <w:kern w:val="0"/>
          <w:szCs w:val="21"/>
        </w:rPr>
        <w:t xml:space="preserve">：660000 </w:t>
      </w:r>
    </w:p>
    <w:p w14:paraId="27F1F7DD">
      <w:pPr>
        <w:widowControl/>
        <w:spacing w:line="360" w:lineRule="auto"/>
        <w:ind w:firstLine="422" w:firstLineChars="200"/>
        <w:jc w:val="left"/>
        <w:rPr>
          <w:rFonts w:hint="eastAsia" w:ascii="宋体" w:hAnsi="宋体" w:cs="宋体"/>
          <w:kern w:val="0"/>
          <w:szCs w:val="21"/>
        </w:rPr>
      </w:pPr>
      <w:r>
        <w:rPr>
          <w:rFonts w:hint="eastAsia" w:ascii="宋体" w:hAnsi="宋体" w:cs="宋体"/>
          <w:b/>
          <w:bCs/>
          <w:kern w:val="0"/>
          <w:szCs w:val="21"/>
        </w:rPr>
        <w:t>最高限价（元）</w:t>
      </w:r>
      <w:r>
        <w:rPr>
          <w:rFonts w:hint="eastAsia" w:ascii="宋体" w:hAnsi="宋体" w:cs="宋体"/>
          <w:kern w:val="0"/>
          <w:szCs w:val="21"/>
        </w:rPr>
        <w:t xml:space="preserve">：660000 </w:t>
      </w:r>
    </w:p>
    <w:p w14:paraId="08BEB05B">
      <w:pPr>
        <w:widowControl/>
        <w:spacing w:line="360" w:lineRule="auto"/>
        <w:ind w:firstLine="422" w:firstLineChars="200"/>
        <w:jc w:val="left"/>
        <w:rPr>
          <w:rFonts w:hint="eastAsia" w:ascii="宋体" w:hAnsi="宋体" w:cs="宋体"/>
          <w:kern w:val="0"/>
          <w:szCs w:val="21"/>
        </w:rPr>
      </w:pPr>
      <w:r>
        <w:rPr>
          <w:rFonts w:hint="eastAsia" w:ascii="宋体" w:hAnsi="宋体" w:cs="宋体"/>
          <w:b/>
          <w:bCs/>
          <w:kern w:val="0"/>
          <w:szCs w:val="21"/>
        </w:rPr>
        <w:t>采购需求：</w:t>
      </w:r>
      <w:r>
        <w:rPr>
          <w:rFonts w:hint="eastAsia" w:ascii="宋体" w:hAnsi="宋体" w:cs="宋体"/>
          <w:szCs w:val="21"/>
        </w:rPr>
        <w:t>工艺大厦及蓝领公寓物业服务项目</w:t>
      </w:r>
      <w:r>
        <w:rPr>
          <w:rFonts w:hint="eastAsia" w:ascii="宋体" w:hAnsi="宋体" w:cs="宋体"/>
          <w:kern w:val="0"/>
          <w:szCs w:val="21"/>
        </w:rPr>
        <w:t>，具体以招标文件第三部分采购需求为准。</w:t>
      </w:r>
    </w:p>
    <w:p w14:paraId="16804916">
      <w:pPr>
        <w:widowControl/>
        <w:spacing w:line="360" w:lineRule="auto"/>
        <w:ind w:firstLine="422" w:firstLineChars="200"/>
        <w:jc w:val="left"/>
        <w:rPr>
          <w:rFonts w:hint="eastAsia" w:ascii="宋体" w:hAnsi="宋体" w:cs="宋体"/>
          <w:kern w:val="0"/>
          <w:szCs w:val="21"/>
          <w:highlight w:val="none"/>
        </w:rPr>
      </w:pPr>
      <w:r>
        <w:rPr>
          <w:rFonts w:hint="eastAsia" w:ascii="宋体" w:hAnsi="宋体" w:cs="宋体"/>
          <w:b/>
          <w:bCs/>
          <w:kern w:val="0"/>
          <w:szCs w:val="21"/>
          <w:highlight w:val="none"/>
        </w:rPr>
        <w:t>合同履约期限</w:t>
      </w:r>
      <w:r>
        <w:rPr>
          <w:rFonts w:hint="eastAsia" w:ascii="宋体" w:hAnsi="宋体" w:cs="宋体"/>
          <w:kern w:val="0"/>
          <w:szCs w:val="21"/>
          <w:highlight w:val="none"/>
        </w:rPr>
        <w:t xml:space="preserve">：服务期限共两年。 </w:t>
      </w:r>
    </w:p>
    <w:p w14:paraId="5280830B">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本项目接受联合体投标：否。</w:t>
      </w:r>
    </w:p>
    <w:p w14:paraId="273023BA">
      <w:pPr>
        <w:widowControl/>
        <w:spacing w:line="360" w:lineRule="auto"/>
        <w:ind w:firstLine="422" w:firstLineChars="200"/>
        <w:jc w:val="left"/>
        <w:rPr>
          <w:rFonts w:hint="eastAsia" w:ascii="宋体" w:hAnsi="宋体" w:cs="宋体"/>
          <w:b/>
          <w:bCs/>
          <w:kern w:val="0"/>
          <w:szCs w:val="21"/>
        </w:rPr>
      </w:pPr>
      <w:r>
        <w:rPr>
          <w:rFonts w:hint="eastAsia" w:ascii="宋体" w:hAnsi="宋体" w:cs="宋体"/>
          <w:b/>
          <w:bCs/>
          <w:kern w:val="0"/>
          <w:szCs w:val="21"/>
        </w:rPr>
        <w:t>二、投标人的资格要求：</w:t>
      </w:r>
    </w:p>
    <w:p w14:paraId="7CD74B2B">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1、满足《中华人民共和国政府采购法》第二十二条规定。未被“信用中国”（www.creditchina.gov.cn）、中国政府采购网（www.ccgp.gov.cn）列入失信被执行人、重大税收违法案件当事人名单、政府采购严重违法失信行为记录名单。</w:t>
      </w:r>
    </w:p>
    <w:p w14:paraId="6A6B9E17">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2、单位负责人为同一人或者存在直接控股、管理关系的不同供应商，不得参加同一合同项下的采购活动；为采购项目提供整体设计、规范编制或者项目管理、监理、检测等服务后不得再参加该采购项目的其他采购活动。</w:t>
      </w:r>
    </w:p>
    <w:p w14:paraId="3D9CC0BB">
      <w:pPr>
        <w:widowControl/>
        <w:spacing w:line="360" w:lineRule="auto"/>
        <w:ind w:firstLine="422" w:firstLineChars="200"/>
        <w:jc w:val="left"/>
        <w:rPr>
          <w:rFonts w:hint="eastAsia" w:ascii="宋体" w:hAnsi="宋体" w:cs="宋体"/>
          <w:b/>
          <w:bCs/>
          <w:kern w:val="0"/>
          <w:szCs w:val="21"/>
        </w:rPr>
      </w:pPr>
      <w:r>
        <w:rPr>
          <w:rFonts w:hint="eastAsia" w:ascii="宋体" w:hAnsi="宋体" w:cs="宋体"/>
          <w:b/>
          <w:bCs/>
          <w:kern w:val="0"/>
          <w:szCs w:val="21"/>
        </w:rPr>
        <w:t>三、获取招标文件的时间、地点和售价：</w:t>
      </w:r>
    </w:p>
    <w:p w14:paraId="419AA0BF">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1、时间：2026年</w:t>
      </w:r>
      <w:r>
        <w:rPr>
          <w:rFonts w:hint="eastAsia" w:ascii="宋体" w:hAnsi="宋体" w:cs="宋体"/>
          <w:kern w:val="0"/>
          <w:szCs w:val="21"/>
          <w:lang w:val="en-US" w:eastAsia="zh-CN"/>
        </w:rPr>
        <w:t>5</w:t>
      </w:r>
      <w:r>
        <w:rPr>
          <w:rFonts w:hint="eastAsia" w:ascii="宋体" w:hAnsi="宋体" w:cs="宋体"/>
          <w:kern w:val="0"/>
          <w:szCs w:val="21"/>
        </w:rPr>
        <w:t>月</w:t>
      </w:r>
      <w:r>
        <w:rPr>
          <w:rFonts w:hint="eastAsia" w:ascii="宋体" w:hAnsi="宋体" w:cs="宋体"/>
          <w:kern w:val="0"/>
          <w:szCs w:val="21"/>
          <w:lang w:val="en-US" w:eastAsia="zh-CN"/>
        </w:rPr>
        <w:t>21</w:t>
      </w:r>
      <w:r>
        <w:rPr>
          <w:rFonts w:hint="eastAsia" w:ascii="宋体" w:hAnsi="宋体" w:cs="宋体"/>
          <w:kern w:val="0"/>
          <w:szCs w:val="21"/>
        </w:rPr>
        <w:t>日至</w:t>
      </w:r>
      <w:bookmarkStart w:id="6" w:name="B18_竞争性谈判文件发售截止日期"/>
      <w:bookmarkEnd w:id="6"/>
      <w:r>
        <w:rPr>
          <w:rFonts w:hint="eastAsia" w:ascii="宋体" w:hAnsi="宋体" w:cs="宋体"/>
          <w:kern w:val="0"/>
          <w:szCs w:val="21"/>
        </w:rPr>
        <w:t>2026年</w:t>
      </w:r>
      <w:r>
        <w:rPr>
          <w:rFonts w:hint="eastAsia" w:ascii="宋体" w:hAnsi="宋体" w:cs="宋体"/>
          <w:kern w:val="0"/>
          <w:szCs w:val="21"/>
          <w:lang w:val="en-US" w:eastAsia="zh-CN"/>
        </w:rPr>
        <w:t>5</w:t>
      </w:r>
      <w:r>
        <w:rPr>
          <w:rFonts w:hint="eastAsia" w:ascii="宋体" w:hAnsi="宋体" w:cs="宋体"/>
          <w:kern w:val="0"/>
          <w:szCs w:val="21"/>
        </w:rPr>
        <w:t>月</w:t>
      </w:r>
      <w:r>
        <w:rPr>
          <w:rFonts w:hint="eastAsia" w:ascii="宋体" w:hAnsi="宋体" w:cs="宋体"/>
          <w:kern w:val="0"/>
          <w:szCs w:val="21"/>
          <w:lang w:val="en-US" w:eastAsia="zh-CN"/>
        </w:rPr>
        <w:t>28</w:t>
      </w:r>
      <w:r>
        <w:rPr>
          <w:rFonts w:hint="eastAsia" w:ascii="宋体" w:hAnsi="宋体" w:cs="宋体"/>
          <w:kern w:val="0"/>
          <w:szCs w:val="21"/>
        </w:rPr>
        <w:t>日9:00-17:30(双休日及法定节假日除外)。</w:t>
      </w:r>
    </w:p>
    <w:p w14:paraId="64159EEB">
      <w:pPr>
        <w:widowControl/>
        <w:spacing w:line="360" w:lineRule="auto"/>
        <w:ind w:firstLine="420" w:firstLineChars="200"/>
        <w:jc w:val="left"/>
        <w:rPr>
          <w:rFonts w:hint="eastAsia" w:ascii="宋体" w:hAnsi="宋体" w:cs="宋体"/>
          <w:b/>
          <w:bCs/>
          <w:kern w:val="0"/>
          <w:szCs w:val="21"/>
        </w:rPr>
      </w:pPr>
      <w:r>
        <w:rPr>
          <w:rFonts w:hint="eastAsia" w:ascii="宋体" w:hAnsi="宋体" w:cs="宋体"/>
          <w:kern w:val="0"/>
          <w:szCs w:val="21"/>
        </w:rPr>
        <w:t>2、获取方式：</w:t>
      </w:r>
      <w:r>
        <w:rPr>
          <w:rFonts w:hint="eastAsia" w:ascii="宋体" w:hAnsi="宋体" w:cs="宋体"/>
          <w:b/>
          <w:bCs/>
          <w:kern w:val="0"/>
          <w:szCs w:val="21"/>
        </w:rPr>
        <w:t>投标人登录乐采云平台（https://www.lecaiyun.com/）在线申请获取采购文件（将本公告要求获取招标文件时须提交的文件资料发送至1786216262@qq.com，并致电采购代理机构联系人申请获取采购文件，进入“项目采购”应用，在获取采购文件菜单中选择项目获取）</w:t>
      </w:r>
    </w:p>
    <w:p w14:paraId="2C7E8DEA">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4、文件售价(元)：500元（公对公打款，售后不退）；收款单位（户名）：浙江万汇招标代理有限公司，开户：杭州银行高新支行，账号：3301040160020563386</w:t>
      </w:r>
    </w:p>
    <w:p w14:paraId="0E171D1B">
      <w:pPr>
        <w:widowControl/>
        <w:spacing w:line="360" w:lineRule="auto"/>
        <w:ind w:firstLine="422" w:firstLineChars="200"/>
        <w:jc w:val="left"/>
        <w:rPr>
          <w:rFonts w:hint="eastAsia" w:ascii="宋体" w:hAnsi="宋体" w:cs="宋体"/>
          <w:kern w:val="0"/>
          <w:szCs w:val="21"/>
        </w:rPr>
      </w:pPr>
      <w:r>
        <w:rPr>
          <w:rFonts w:hint="eastAsia" w:ascii="宋体" w:hAnsi="宋体" w:cs="宋体"/>
          <w:b/>
          <w:bCs/>
          <w:kern w:val="0"/>
          <w:szCs w:val="21"/>
        </w:rPr>
        <w:t>四、响应文件提交截止时间：</w:t>
      </w:r>
      <w:r>
        <w:rPr>
          <w:rFonts w:hint="eastAsia" w:ascii="宋体" w:hAnsi="宋体" w:cs="宋体"/>
          <w:kern w:val="0"/>
          <w:szCs w:val="21"/>
        </w:rPr>
        <w:t>2026年</w:t>
      </w:r>
      <w:r>
        <w:rPr>
          <w:rFonts w:hint="eastAsia" w:ascii="宋体" w:hAnsi="宋体" w:cs="宋体"/>
          <w:kern w:val="0"/>
          <w:szCs w:val="21"/>
          <w:lang w:val="en-US" w:eastAsia="zh-CN"/>
        </w:rPr>
        <w:t>6</w:t>
      </w:r>
      <w:r>
        <w:rPr>
          <w:rFonts w:hint="eastAsia" w:ascii="宋体" w:hAnsi="宋体" w:cs="宋体"/>
          <w:kern w:val="0"/>
          <w:szCs w:val="21"/>
        </w:rPr>
        <w:t>月</w:t>
      </w:r>
      <w:r>
        <w:rPr>
          <w:rFonts w:hint="eastAsia" w:ascii="宋体" w:hAnsi="宋体" w:cs="宋体"/>
          <w:kern w:val="0"/>
          <w:szCs w:val="21"/>
          <w:lang w:val="en-US" w:eastAsia="zh-CN"/>
        </w:rPr>
        <w:t>11</w:t>
      </w:r>
      <w:r>
        <w:rPr>
          <w:rFonts w:hint="eastAsia" w:ascii="宋体" w:hAnsi="宋体" w:cs="宋体"/>
          <w:kern w:val="0"/>
          <w:szCs w:val="21"/>
        </w:rPr>
        <w:t>日</w:t>
      </w:r>
      <w:r>
        <w:rPr>
          <w:rFonts w:hint="eastAsia" w:ascii="宋体" w:hAnsi="宋体" w:cs="宋体"/>
          <w:kern w:val="0"/>
          <w:szCs w:val="21"/>
          <w:lang w:val="en-US" w:eastAsia="zh-CN"/>
        </w:rPr>
        <w:t>14</w:t>
      </w:r>
      <w:r>
        <w:rPr>
          <w:rFonts w:hint="eastAsia" w:ascii="宋体" w:hAnsi="宋体" w:cs="宋体"/>
          <w:kern w:val="0"/>
          <w:szCs w:val="21"/>
        </w:rPr>
        <w:t>时</w:t>
      </w:r>
      <w:r>
        <w:rPr>
          <w:rFonts w:hint="eastAsia" w:ascii="宋体" w:hAnsi="宋体" w:cs="宋体"/>
          <w:kern w:val="0"/>
          <w:szCs w:val="21"/>
          <w:lang w:val="en-US" w:eastAsia="zh-CN"/>
        </w:rPr>
        <w:t>00</w:t>
      </w:r>
      <w:r>
        <w:rPr>
          <w:rFonts w:hint="eastAsia" w:ascii="宋体" w:hAnsi="宋体" w:cs="宋体"/>
          <w:kern w:val="0"/>
          <w:szCs w:val="21"/>
        </w:rPr>
        <w:t>分（北京时间）</w:t>
      </w:r>
    </w:p>
    <w:p w14:paraId="27C45925">
      <w:pPr>
        <w:widowControl/>
        <w:wordWrap w:val="0"/>
        <w:spacing w:line="360" w:lineRule="auto"/>
        <w:ind w:firstLine="422" w:firstLineChars="200"/>
        <w:jc w:val="left"/>
        <w:rPr>
          <w:rFonts w:hint="eastAsia" w:ascii="宋体" w:hAnsi="宋体" w:cs="宋体"/>
          <w:szCs w:val="21"/>
        </w:rPr>
      </w:pPr>
      <w:r>
        <w:rPr>
          <w:rFonts w:hint="eastAsia" w:ascii="宋体" w:hAnsi="宋体" w:cs="宋体"/>
          <w:b/>
          <w:bCs/>
          <w:kern w:val="0"/>
          <w:szCs w:val="21"/>
        </w:rPr>
        <w:t>五、响应文件提交地址：</w:t>
      </w:r>
      <w:r>
        <w:rPr>
          <w:rFonts w:hint="eastAsia" w:ascii="宋体" w:hAnsi="宋体" w:cs="宋体"/>
          <w:szCs w:val="21"/>
        </w:rPr>
        <w:t>供应商在乐采云平台上在线提交公开招标响应文件 （https://www.lecaiyun.com/）。</w:t>
      </w:r>
    </w:p>
    <w:p w14:paraId="329CAD18">
      <w:pPr>
        <w:widowControl/>
        <w:spacing w:line="360" w:lineRule="auto"/>
        <w:ind w:firstLine="422" w:firstLineChars="200"/>
        <w:jc w:val="left"/>
        <w:rPr>
          <w:rFonts w:hint="eastAsia" w:ascii="宋体" w:hAnsi="宋体" w:cs="宋体"/>
          <w:kern w:val="0"/>
          <w:szCs w:val="21"/>
        </w:rPr>
      </w:pPr>
      <w:r>
        <w:rPr>
          <w:rFonts w:hint="eastAsia" w:ascii="宋体" w:hAnsi="宋体" w:cs="宋体"/>
          <w:b/>
          <w:bCs/>
          <w:kern w:val="0"/>
          <w:szCs w:val="21"/>
        </w:rPr>
        <w:t>六、响应文件开启时间：</w:t>
      </w:r>
      <w:r>
        <w:rPr>
          <w:rFonts w:hint="eastAsia" w:ascii="宋体" w:hAnsi="宋体" w:cs="宋体"/>
          <w:kern w:val="0"/>
          <w:szCs w:val="21"/>
        </w:rPr>
        <w:t>2026年</w:t>
      </w:r>
      <w:r>
        <w:rPr>
          <w:rFonts w:hint="eastAsia" w:ascii="宋体" w:hAnsi="宋体" w:cs="宋体"/>
          <w:kern w:val="0"/>
          <w:szCs w:val="21"/>
          <w:lang w:val="en-US" w:eastAsia="zh-CN"/>
        </w:rPr>
        <w:t>6</w:t>
      </w:r>
      <w:r>
        <w:rPr>
          <w:rFonts w:hint="eastAsia" w:ascii="宋体" w:hAnsi="宋体" w:cs="宋体"/>
          <w:kern w:val="0"/>
          <w:szCs w:val="21"/>
        </w:rPr>
        <w:t>月</w:t>
      </w:r>
      <w:r>
        <w:rPr>
          <w:rFonts w:hint="eastAsia" w:ascii="宋体" w:hAnsi="宋体" w:cs="宋体"/>
          <w:kern w:val="0"/>
          <w:szCs w:val="21"/>
          <w:lang w:val="en-US" w:eastAsia="zh-CN"/>
        </w:rPr>
        <w:t>11</w:t>
      </w:r>
      <w:r>
        <w:rPr>
          <w:rFonts w:hint="eastAsia" w:ascii="宋体" w:hAnsi="宋体" w:cs="宋体"/>
          <w:kern w:val="0"/>
          <w:szCs w:val="21"/>
        </w:rPr>
        <w:t>日</w:t>
      </w:r>
      <w:r>
        <w:rPr>
          <w:rFonts w:hint="eastAsia" w:ascii="宋体" w:hAnsi="宋体" w:cs="宋体"/>
          <w:kern w:val="0"/>
          <w:szCs w:val="21"/>
          <w:lang w:val="en-US" w:eastAsia="zh-CN"/>
        </w:rPr>
        <w:t>00</w:t>
      </w:r>
      <w:r>
        <w:rPr>
          <w:rFonts w:hint="eastAsia" w:ascii="宋体" w:hAnsi="宋体" w:cs="宋体"/>
          <w:kern w:val="0"/>
          <w:szCs w:val="21"/>
        </w:rPr>
        <w:t>时</w:t>
      </w:r>
      <w:r>
        <w:rPr>
          <w:rFonts w:hint="eastAsia" w:ascii="宋体" w:hAnsi="宋体" w:cs="宋体"/>
          <w:kern w:val="0"/>
          <w:szCs w:val="21"/>
          <w:lang w:val="en-US" w:eastAsia="zh-CN"/>
        </w:rPr>
        <w:t>00</w:t>
      </w:r>
      <w:r>
        <w:rPr>
          <w:rFonts w:hint="eastAsia" w:ascii="宋体" w:hAnsi="宋体" w:cs="宋体"/>
          <w:kern w:val="0"/>
          <w:szCs w:val="21"/>
        </w:rPr>
        <w:t>分（北京时间）</w:t>
      </w:r>
    </w:p>
    <w:p w14:paraId="3FA94497">
      <w:pPr>
        <w:widowControl/>
        <w:wordWrap w:val="0"/>
        <w:spacing w:line="360" w:lineRule="auto"/>
        <w:ind w:firstLine="422" w:firstLineChars="200"/>
        <w:jc w:val="left"/>
        <w:rPr>
          <w:rFonts w:hint="eastAsia" w:ascii="宋体" w:hAnsi="宋体" w:cs="宋体"/>
          <w:kern w:val="0"/>
          <w:szCs w:val="21"/>
        </w:rPr>
      </w:pPr>
      <w:r>
        <w:rPr>
          <w:rFonts w:hint="eastAsia" w:ascii="宋体" w:hAnsi="宋体" w:cs="宋体"/>
          <w:b/>
          <w:bCs/>
          <w:kern w:val="0"/>
          <w:szCs w:val="21"/>
        </w:rPr>
        <w:t>七、响应文件开启地址：</w:t>
      </w:r>
      <w:r>
        <w:rPr>
          <w:rFonts w:hint="eastAsia" w:ascii="宋体" w:hAnsi="宋体" w:cs="宋体"/>
          <w:kern w:val="0"/>
          <w:szCs w:val="21"/>
        </w:rPr>
        <w:t>供应商在乐采云平台上在线解密 （https://www.lecaiyun.com/）</w:t>
      </w:r>
      <w:r>
        <w:rPr>
          <w:rFonts w:hint="eastAsia" w:ascii="宋体" w:hAnsi="宋体" w:cs="宋体"/>
          <w:szCs w:val="21"/>
        </w:rPr>
        <w:t xml:space="preserve"> ，无需现场参加开标会议室。     </w:t>
      </w:r>
    </w:p>
    <w:p w14:paraId="5BB92AA6">
      <w:pPr>
        <w:widowControl/>
        <w:spacing w:line="360" w:lineRule="auto"/>
        <w:ind w:firstLine="422" w:firstLineChars="200"/>
        <w:jc w:val="left"/>
        <w:rPr>
          <w:rFonts w:hint="eastAsia" w:ascii="宋体" w:hAnsi="宋体" w:cs="宋体"/>
          <w:b/>
          <w:bCs/>
          <w:kern w:val="0"/>
          <w:szCs w:val="21"/>
        </w:rPr>
      </w:pPr>
      <w:r>
        <w:rPr>
          <w:rFonts w:hint="eastAsia" w:ascii="宋体" w:hAnsi="宋体" w:cs="宋体"/>
          <w:b/>
          <w:bCs/>
          <w:kern w:val="0"/>
          <w:szCs w:val="21"/>
        </w:rPr>
        <w:t>八、投标保证金：</w:t>
      </w:r>
      <w:r>
        <w:rPr>
          <w:rFonts w:hint="eastAsia" w:ascii="宋体" w:hAnsi="宋体" w:cs="宋体"/>
          <w:kern w:val="0"/>
          <w:szCs w:val="21"/>
        </w:rPr>
        <w:t>不需缴纳。</w:t>
      </w:r>
    </w:p>
    <w:p w14:paraId="69A5FB51">
      <w:pPr>
        <w:widowControl/>
        <w:spacing w:line="360" w:lineRule="auto"/>
        <w:ind w:firstLine="422" w:firstLineChars="200"/>
        <w:jc w:val="left"/>
        <w:rPr>
          <w:rFonts w:hint="eastAsia" w:ascii="宋体" w:hAnsi="宋体" w:cs="宋体"/>
          <w:b/>
          <w:bCs/>
          <w:kern w:val="0"/>
          <w:szCs w:val="21"/>
        </w:rPr>
      </w:pPr>
      <w:r>
        <w:rPr>
          <w:rFonts w:hint="eastAsia" w:ascii="宋体" w:hAnsi="宋体" w:cs="宋体"/>
          <w:b/>
          <w:bCs/>
          <w:kern w:val="0"/>
          <w:szCs w:val="21"/>
        </w:rPr>
        <w:t>九、其他事项：</w:t>
      </w:r>
    </w:p>
    <w:p w14:paraId="1FA74A8A">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1、本项目公告期限为5个工作日，供应商对招标文件有疑问的，可以在公示期内向采购代理机构询疑。逾期提出的，不予受答复。</w:t>
      </w:r>
    </w:p>
    <w:p w14:paraId="6FE34A20">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2、购买招标文件时须提交的文件资料（至公开招标响应文件提交截止时间前均可报名）</w:t>
      </w:r>
    </w:p>
    <w:p w14:paraId="7D9F9E17">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1）采购文件领取登记表（附件）；</w:t>
      </w:r>
    </w:p>
    <w:p w14:paraId="6F80CAEB">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2）有效的营业执照副本等复印件（复印件加盖单位公章）。</w:t>
      </w:r>
    </w:p>
    <w:p w14:paraId="3AF58F3C">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3、其他事项</w:t>
      </w:r>
    </w:p>
    <w:p w14:paraId="7984BFFE">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未按招标公告要求获取招标文件的供应商参与本项目投标，将被拒绝；</w:t>
      </w:r>
    </w:p>
    <w:p w14:paraId="74C67340">
      <w:pPr>
        <w:widowControl/>
        <w:spacing w:line="360" w:lineRule="auto"/>
        <w:ind w:firstLine="422" w:firstLineChars="200"/>
        <w:jc w:val="left"/>
        <w:rPr>
          <w:rFonts w:hint="eastAsia" w:ascii="宋体" w:hAnsi="宋体" w:cs="宋体"/>
          <w:b/>
          <w:bCs/>
          <w:kern w:val="0"/>
          <w:szCs w:val="21"/>
        </w:rPr>
      </w:pPr>
      <w:r>
        <w:rPr>
          <w:rFonts w:hint="eastAsia" w:ascii="宋体" w:hAnsi="宋体" w:cs="宋体"/>
          <w:b/>
          <w:bCs/>
          <w:kern w:val="0"/>
          <w:szCs w:val="21"/>
        </w:rPr>
        <w:t>十、电子交易的说明</w:t>
      </w:r>
    </w:p>
    <w:p w14:paraId="7C404160">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1.电子交易：本项目以数据电文形式，依托“乐采云平台（www.lecaiyun.com）”进行交易活动，各投标人应按照本项目采购文件和乐采云平台的要求编制、加密并递交响应文件，不接受纸质响应文件。</w:t>
      </w:r>
    </w:p>
    <w:p w14:paraId="48190C11">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2.投标准备：</w:t>
      </w:r>
    </w:p>
    <w:p w14:paraId="03F0BC53">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（1）注册账号--点击“商家入驻”，进行政府采购供应商资料填写，通过初审及终审公示后可成为正式供应商。</w:t>
      </w:r>
    </w:p>
    <w:p w14:paraId="45756EF4">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2）申领CA数字证书---申领流程详见“浙江政府采购网-下载专区-电子交易客户端-CA驱动和申领流程”：投标人应在开标前完成CA数字证书办理，完成CA数字证书办理预计1-2周左右，各投标人应充分考虑办理时间等因素。</w:t>
      </w:r>
    </w:p>
    <w:p w14:paraId="452E6653">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办理流程详见:CA管理操作指南  https://service.zcygov.cn/#/knowledges/cm2eqWwBFdiHxlNd_otq/lwV6GXABiyELHE-oVMj3</w:t>
      </w:r>
    </w:p>
    <w:p w14:paraId="20185645">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CA相关热点问题TOP专题页https://service.zcygov.cn/#/knowledges/depk120BkjoVoiMyPhAJ/8QejCnEBiyELHE-ohzp-</w:t>
      </w:r>
    </w:p>
    <w:p w14:paraId="60B25FEB">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3）安装“乐采云电子交易客户端”----投标人通过乐采云平台电子投标工具制作响应文件，前往“浙江政府采购网-下载专区-电子交易客户端”进行下载并安装。乐采云电子交易客户端：http://zfcg.czt.zj.gov.cn/bidClientTemplate/2019-05-27/12946.html</w:t>
      </w:r>
    </w:p>
    <w:p w14:paraId="3616A5D2">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3.采购文件的获取：使用账号登录或者使用CA登录乐采云平台；进入“项目采购”应用，在获取采购文件菜单中选择项目，获取采购文件。</w:t>
      </w:r>
    </w:p>
    <w:p w14:paraId="1DE42EE6">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4.响应文件的制作：在“乐采云电子交易客户端”中完成“填写基本信息”、“导入响应文件”、“标书关联”、“标书检查”、“电子签名”、“生成电子标书”等操作。</w:t>
      </w:r>
    </w:p>
    <w:p w14:paraId="55E7FD94">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5.响应文件的传输递交：投标人在投标截止时间前将加密的响应文件上传至乐采云平台。</w:t>
      </w:r>
    </w:p>
    <w:p w14:paraId="3FF7F04E">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6.响应文件的解密：投标人按照平台提示和采购文件的规定在开标时间起30分钟内完成在线解密。</w:t>
      </w:r>
    </w:p>
    <w:p w14:paraId="25CABC80">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7.具体操作指南：详见乐采云平台“服务中心-帮助文档-项目采购-操作流程-电子招投标-政府采购项目电子交易管理操作指南-供应商”：浙江省政府采购项目电子交易平台学习专题  https://edu.zcygov.cn/luban/e-biding。</w:t>
      </w:r>
    </w:p>
    <w:p w14:paraId="6DAE3E02">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8.供应商在使用系统进行投标的过程中遇到涉及平台使用的任何问题，可致电乐采云平台技术支持热线咨询，联系方式：95763。</w:t>
      </w:r>
    </w:p>
    <w:p w14:paraId="508DC5D1">
      <w:pPr>
        <w:widowControl/>
        <w:spacing w:line="360" w:lineRule="auto"/>
        <w:ind w:firstLine="422" w:firstLineChars="200"/>
        <w:jc w:val="left"/>
        <w:rPr>
          <w:rFonts w:hint="eastAsia" w:ascii="宋体" w:hAnsi="宋体" w:cs="宋体"/>
          <w:b/>
          <w:bCs/>
          <w:kern w:val="0"/>
          <w:szCs w:val="21"/>
        </w:rPr>
      </w:pPr>
      <w:r>
        <w:rPr>
          <w:rFonts w:hint="eastAsia" w:ascii="宋体" w:hAnsi="宋体" w:cs="宋体"/>
          <w:b/>
          <w:bCs/>
          <w:kern w:val="0"/>
          <w:szCs w:val="21"/>
        </w:rPr>
        <w:t>十一、联系方式</w:t>
      </w:r>
    </w:p>
    <w:p w14:paraId="69EABCC3">
      <w:pPr>
        <w:spacing w:line="360" w:lineRule="auto"/>
        <w:ind w:firstLine="420" w:firstLineChars="200"/>
        <w:rPr>
          <w:rFonts w:hint="eastAsia" w:ascii="宋体" w:hAnsi="宋体" w:cs="宋体"/>
          <w:szCs w:val="21"/>
        </w:rPr>
      </w:pPr>
      <w:r>
        <w:rPr>
          <w:rFonts w:hint="eastAsia" w:ascii="宋体" w:hAnsi="宋体" w:cs="宋体"/>
          <w:szCs w:val="21"/>
        </w:rPr>
        <w:t>1、采购人</w:t>
      </w:r>
    </w:p>
    <w:p w14:paraId="6D587CDF">
      <w:pPr>
        <w:spacing w:line="360" w:lineRule="auto"/>
        <w:ind w:firstLine="420" w:firstLineChars="200"/>
        <w:rPr>
          <w:rFonts w:hint="eastAsia" w:ascii="宋体" w:hAnsi="宋体" w:cs="宋体"/>
          <w:szCs w:val="21"/>
        </w:rPr>
      </w:pPr>
      <w:r>
        <w:rPr>
          <w:rFonts w:hint="eastAsia" w:ascii="宋体" w:hAnsi="宋体" w:cs="宋体"/>
          <w:szCs w:val="21"/>
        </w:rPr>
        <w:t>名称：浙江艺诚物业管理有限公司</w:t>
      </w:r>
    </w:p>
    <w:p w14:paraId="76BB76C3">
      <w:pPr>
        <w:spacing w:line="360" w:lineRule="auto"/>
        <w:ind w:firstLine="420" w:firstLineChars="200"/>
        <w:rPr>
          <w:rFonts w:hint="eastAsia" w:ascii="宋体" w:hAnsi="宋体" w:cs="宋体"/>
          <w:szCs w:val="21"/>
        </w:rPr>
      </w:pPr>
      <w:r>
        <w:rPr>
          <w:rFonts w:hint="eastAsia" w:ascii="宋体" w:hAnsi="宋体" w:cs="宋体"/>
          <w:szCs w:val="21"/>
        </w:rPr>
        <w:t>地址：浙江省杭州市中山北路12号</w:t>
      </w:r>
    </w:p>
    <w:p w14:paraId="10C80B82">
      <w:pPr>
        <w:spacing w:line="360" w:lineRule="auto"/>
        <w:ind w:firstLine="420" w:firstLineChars="200"/>
        <w:rPr>
          <w:rFonts w:hint="eastAsia" w:ascii="宋体" w:hAnsi="宋体" w:cs="宋体"/>
          <w:szCs w:val="21"/>
        </w:rPr>
      </w:pPr>
      <w:r>
        <w:rPr>
          <w:rFonts w:hint="eastAsia" w:ascii="宋体" w:hAnsi="宋体" w:cs="宋体"/>
          <w:szCs w:val="21"/>
        </w:rPr>
        <w:t>项目联系人：苏杭</w:t>
      </w:r>
    </w:p>
    <w:p w14:paraId="656E26A8">
      <w:pPr>
        <w:spacing w:line="360" w:lineRule="auto"/>
        <w:ind w:firstLine="420" w:firstLineChars="200"/>
        <w:rPr>
          <w:rFonts w:hint="eastAsia" w:ascii="宋体" w:hAnsi="宋体" w:cs="宋体"/>
          <w:szCs w:val="21"/>
        </w:rPr>
      </w:pPr>
      <w:r>
        <w:rPr>
          <w:rFonts w:hint="eastAsia" w:ascii="宋体" w:hAnsi="宋体" w:cs="宋体"/>
          <w:szCs w:val="21"/>
        </w:rPr>
        <w:t>项目联系方式：13819198898</w:t>
      </w:r>
    </w:p>
    <w:p w14:paraId="4DCDF038">
      <w:pPr>
        <w:spacing w:line="360" w:lineRule="auto"/>
        <w:ind w:firstLine="420" w:firstLineChars="200"/>
        <w:rPr>
          <w:rFonts w:hint="eastAsia" w:ascii="宋体" w:hAnsi="宋体" w:cs="宋体"/>
          <w:szCs w:val="21"/>
        </w:rPr>
      </w:pPr>
      <w:r>
        <w:rPr>
          <w:rFonts w:hint="eastAsia" w:ascii="宋体" w:hAnsi="宋体" w:cs="宋体"/>
          <w:szCs w:val="21"/>
        </w:rPr>
        <w:t>2、采购代理机构信息</w:t>
      </w:r>
    </w:p>
    <w:p w14:paraId="7085717A">
      <w:pPr>
        <w:spacing w:line="360" w:lineRule="auto"/>
        <w:ind w:firstLine="420" w:firstLineChars="200"/>
        <w:rPr>
          <w:rFonts w:hint="eastAsia" w:ascii="宋体" w:hAnsi="宋体" w:cs="宋体"/>
          <w:szCs w:val="21"/>
        </w:rPr>
      </w:pPr>
      <w:r>
        <w:rPr>
          <w:rFonts w:hint="eastAsia" w:ascii="宋体" w:hAnsi="宋体" w:cs="宋体"/>
          <w:szCs w:val="21"/>
        </w:rPr>
        <w:t>名称：浙江万汇招标代理有限公司</w:t>
      </w:r>
    </w:p>
    <w:p w14:paraId="4A5F4D0E">
      <w:pPr>
        <w:spacing w:line="360" w:lineRule="auto"/>
        <w:ind w:firstLine="420" w:firstLineChars="200"/>
        <w:rPr>
          <w:rFonts w:hint="eastAsia" w:ascii="宋体" w:hAnsi="宋体" w:cs="宋体"/>
          <w:szCs w:val="21"/>
        </w:rPr>
      </w:pPr>
      <w:r>
        <w:rPr>
          <w:rFonts w:hint="eastAsia" w:ascii="宋体" w:hAnsi="宋体" w:cs="宋体"/>
          <w:szCs w:val="21"/>
        </w:rPr>
        <w:t>地址：杭州市拱墅区金开大厦裙楼2楼</w:t>
      </w:r>
    </w:p>
    <w:p w14:paraId="451BF61D">
      <w:pPr>
        <w:spacing w:line="360" w:lineRule="auto"/>
        <w:ind w:firstLine="420" w:firstLineChars="200"/>
        <w:rPr>
          <w:rFonts w:hint="eastAsia" w:ascii="宋体" w:hAnsi="宋体" w:cs="宋体"/>
          <w:szCs w:val="21"/>
        </w:rPr>
      </w:pPr>
      <w:r>
        <w:rPr>
          <w:rFonts w:hint="eastAsia" w:ascii="宋体" w:hAnsi="宋体" w:cs="宋体"/>
          <w:szCs w:val="21"/>
        </w:rPr>
        <w:t>传真：0571-87795077</w:t>
      </w:r>
    </w:p>
    <w:p w14:paraId="5CBDA32E">
      <w:pPr>
        <w:spacing w:line="360" w:lineRule="auto"/>
        <w:ind w:firstLine="420" w:firstLineChars="200"/>
        <w:rPr>
          <w:rFonts w:hint="eastAsia" w:ascii="宋体" w:hAnsi="宋体" w:cs="宋体"/>
          <w:szCs w:val="21"/>
        </w:rPr>
      </w:pPr>
      <w:r>
        <w:rPr>
          <w:rFonts w:hint="eastAsia" w:ascii="宋体" w:hAnsi="宋体" w:cs="宋体"/>
          <w:szCs w:val="21"/>
        </w:rPr>
        <w:t>项目联系人（询问）：章亚威、代夫强</w:t>
      </w:r>
    </w:p>
    <w:p w14:paraId="722A0415">
      <w:pPr>
        <w:spacing w:line="360" w:lineRule="auto"/>
        <w:ind w:firstLine="420" w:firstLineChars="200"/>
        <w:rPr>
          <w:rFonts w:hint="eastAsia" w:ascii="宋体" w:hAnsi="宋体" w:cs="宋体"/>
          <w:szCs w:val="21"/>
        </w:rPr>
      </w:pPr>
      <w:r>
        <w:rPr>
          <w:rFonts w:hint="eastAsia" w:ascii="宋体" w:hAnsi="宋体" w:cs="宋体"/>
          <w:szCs w:val="21"/>
        </w:rPr>
        <w:t>项目联系方式（询问）：</w:t>
      </w:r>
      <w:bookmarkStart w:id="125" w:name="_GoBack"/>
      <w:r>
        <w:rPr>
          <w:rFonts w:hint="eastAsia" w:ascii="宋体" w:hAnsi="宋体" w:cs="宋体"/>
          <w:szCs w:val="21"/>
        </w:rPr>
        <w:t>0571-87795077、18268028684</w:t>
      </w:r>
    </w:p>
    <w:bookmarkEnd w:id="125"/>
    <w:p w14:paraId="50EB9ACE">
      <w:pPr>
        <w:spacing w:line="360" w:lineRule="auto"/>
        <w:ind w:firstLine="420" w:firstLineChars="200"/>
        <w:rPr>
          <w:rFonts w:hint="eastAsia" w:ascii="宋体" w:hAnsi="宋体" w:cs="宋体"/>
          <w:szCs w:val="21"/>
        </w:rPr>
      </w:pPr>
      <w:r>
        <w:rPr>
          <w:rFonts w:hint="eastAsia" w:ascii="宋体" w:hAnsi="宋体" w:cs="宋体"/>
          <w:szCs w:val="21"/>
        </w:rPr>
        <w:t xml:space="preserve">监督部门： 浙江省工艺品进出口有限公司采购工作领导小组           </w:t>
      </w:r>
    </w:p>
    <w:p w14:paraId="799EB05E">
      <w:pPr>
        <w:pStyle w:val="3"/>
        <w:rPr>
          <w:rFonts w:hint="eastAsia" w:ascii="宋体" w:hAnsi="宋体" w:cs="宋体"/>
          <w:color w:val="auto"/>
        </w:rPr>
      </w:pPr>
    </w:p>
    <w:p w14:paraId="57E0F6B1">
      <w:pPr>
        <w:pStyle w:val="3"/>
        <w:rPr>
          <w:rFonts w:hint="eastAsia" w:ascii="宋体" w:hAnsi="宋体" w:cs="宋体"/>
          <w:color w:val="auto"/>
        </w:rPr>
      </w:pPr>
    </w:p>
    <w:p w14:paraId="6C64B78B">
      <w:pPr>
        <w:pStyle w:val="3"/>
        <w:rPr>
          <w:rFonts w:hint="eastAsia" w:ascii="宋体" w:hAnsi="宋体" w:cs="宋体"/>
          <w:color w:val="auto"/>
        </w:rPr>
      </w:pPr>
    </w:p>
    <w:p w14:paraId="6EE24821">
      <w:pPr>
        <w:rPr>
          <w:rFonts w:hint="eastAsia" w:ascii="宋体" w:hAnsi="宋体" w:cs="宋体"/>
        </w:rPr>
      </w:pPr>
    </w:p>
    <w:p w14:paraId="79F604E8">
      <w:pPr>
        <w:pStyle w:val="2"/>
        <w:rPr>
          <w:rFonts w:hint="eastAsia" w:ascii="宋体" w:hAnsi="宋体" w:cs="宋体"/>
        </w:rPr>
      </w:pPr>
    </w:p>
    <w:p w14:paraId="6E274046">
      <w:pPr>
        <w:pStyle w:val="2"/>
        <w:rPr>
          <w:rFonts w:hint="eastAsia" w:ascii="宋体" w:hAnsi="宋体" w:cs="宋体"/>
        </w:rPr>
      </w:pPr>
    </w:p>
    <w:p w14:paraId="72D9B157">
      <w:pPr>
        <w:pStyle w:val="2"/>
        <w:rPr>
          <w:rFonts w:hint="eastAsia" w:ascii="宋体" w:hAnsi="宋体" w:cs="宋体"/>
        </w:rPr>
      </w:pPr>
    </w:p>
    <w:p w14:paraId="247556CF">
      <w:pPr>
        <w:pStyle w:val="2"/>
        <w:rPr>
          <w:rFonts w:hint="eastAsia" w:ascii="宋体" w:hAnsi="宋体" w:cs="宋体"/>
        </w:rPr>
      </w:pPr>
    </w:p>
    <w:p w14:paraId="449014F2">
      <w:pPr>
        <w:pStyle w:val="2"/>
        <w:rPr>
          <w:rFonts w:hint="eastAsia" w:ascii="宋体" w:hAnsi="宋体" w:cs="宋体"/>
        </w:rPr>
      </w:pPr>
    </w:p>
    <w:p w14:paraId="66806845">
      <w:pPr>
        <w:pStyle w:val="2"/>
        <w:rPr>
          <w:rFonts w:hint="eastAsia" w:ascii="宋体" w:hAnsi="宋体" w:cs="宋体"/>
        </w:rPr>
      </w:pPr>
    </w:p>
    <w:p w14:paraId="672D0F88">
      <w:pPr>
        <w:pStyle w:val="2"/>
        <w:rPr>
          <w:rFonts w:hint="eastAsia" w:ascii="宋体" w:hAnsi="宋体" w:cs="宋体"/>
        </w:rPr>
      </w:pPr>
    </w:p>
    <w:p w14:paraId="46B9C6E6">
      <w:pPr>
        <w:pStyle w:val="2"/>
        <w:rPr>
          <w:rFonts w:hint="eastAsia" w:ascii="宋体" w:hAnsi="宋体" w:cs="宋体"/>
        </w:rPr>
      </w:pPr>
    </w:p>
    <w:p w14:paraId="60102E02">
      <w:pPr>
        <w:pStyle w:val="2"/>
        <w:rPr>
          <w:rFonts w:hint="eastAsia" w:ascii="宋体" w:hAnsi="宋体" w:cs="宋体"/>
        </w:rPr>
      </w:pPr>
    </w:p>
    <w:p w14:paraId="67C1F55D">
      <w:pPr>
        <w:pStyle w:val="2"/>
        <w:rPr>
          <w:rFonts w:hint="eastAsia" w:ascii="宋体" w:hAnsi="宋体" w:cs="宋体"/>
        </w:rPr>
      </w:pPr>
    </w:p>
    <w:p w14:paraId="16EEED8B">
      <w:pPr>
        <w:pStyle w:val="2"/>
        <w:rPr>
          <w:rFonts w:hint="eastAsia" w:ascii="宋体" w:hAnsi="宋体" w:cs="宋体"/>
        </w:rPr>
      </w:pPr>
    </w:p>
    <w:p w14:paraId="671BB187">
      <w:pPr>
        <w:pStyle w:val="2"/>
        <w:rPr>
          <w:rFonts w:hint="eastAsia" w:ascii="宋体" w:hAnsi="宋体" w:cs="宋体"/>
        </w:rPr>
      </w:pPr>
    </w:p>
    <w:p w14:paraId="2C76858D">
      <w:pPr>
        <w:pStyle w:val="2"/>
        <w:rPr>
          <w:rFonts w:hint="eastAsia" w:ascii="宋体" w:hAnsi="宋体" w:cs="宋体"/>
        </w:rPr>
      </w:pPr>
    </w:p>
    <w:p w14:paraId="59EE2F37">
      <w:pPr>
        <w:pStyle w:val="2"/>
        <w:rPr>
          <w:rFonts w:hint="eastAsia" w:ascii="宋体" w:hAnsi="宋体" w:cs="宋体"/>
        </w:rPr>
      </w:pPr>
    </w:p>
    <w:p w14:paraId="21962547">
      <w:pPr>
        <w:pStyle w:val="2"/>
        <w:rPr>
          <w:rFonts w:hint="eastAsia" w:ascii="宋体" w:hAnsi="宋体" w:cs="宋体"/>
        </w:rPr>
      </w:pPr>
    </w:p>
    <w:p w14:paraId="1820D589">
      <w:pPr>
        <w:pStyle w:val="2"/>
        <w:rPr>
          <w:rFonts w:hint="eastAsia" w:ascii="宋体" w:hAnsi="宋体" w:cs="宋体"/>
        </w:rPr>
      </w:pPr>
    </w:p>
    <w:p w14:paraId="3EAC99D9">
      <w:pPr>
        <w:pStyle w:val="2"/>
        <w:rPr>
          <w:rFonts w:hint="eastAsia" w:ascii="宋体" w:hAnsi="宋体" w:cs="宋体"/>
        </w:rPr>
      </w:pPr>
    </w:p>
    <w:p w14:paraId="7E96F2B2">
      <w:pPr>
        <w:pStyle w:val="3"/>
        <w:rPr>
          <w:rFonts w:hint="eastAsia" w:ascii="宋体" w:hAnsi="宋体" w:cs="宋体"/>
          <w:color w:val="auto"/>
        </w:rPr>
      </w:pPr>
      <w:r>
        <w:rPr>
          <w:rFonts w:hint="eastAsia" w:ascii="宋体" w:hAnsi="宋体" w:cs="宋体"/>
          <w:color w:val="auto"/>
        </w:rPr>
        <w:t>第二章  供应商须知</w:t>
      </w:r>
    </w:p>
    <w:p w14:paraId="7FE980D5">
      <w:pPr>
        <w:pStyle w:val="3"/>
        <w:rPr>
          <w:rFonts w:hint="eastAsia" w:ascii="宋体" w:hAnsi="宋体" w:cs="宋体"/>
          <w:color w:val="auto"/>
          <w:kern w:val="0"/>
          <w:szCs w:val="21"/>
        </w:rPr>
      </w:pPr>
      <w:r>
        <w:rPr>
          <w:rFonts w:hint="eastAsia" w:ascii="宋体" w:hAnsi="宋体" w:cs="宋体"/>
          <w:color w:val="auto"/>
        </w:rPr>
        <w:t>前附表</w:t>
      </w:r>
    </w:p>
    <w:tbl>
      <w:tblPr>
        <w:tblStyle w:val="4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57"/>
        <w:gridCol w:w="2088"/>
        <w:gridCol w:w="6283"/>
      </w:tblGrid>
      <w:tr w14:paraId="79572F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0" w:hRule="atLeast"/>
          <w:jc w:val="center"/>
        </w:trPr>
        <w:tc>
          <w:tcPr>
            <w:tcW w:w="1257" w:type="dxa"/>
            <w:vAlign w:val="center"/>
          </w:tcPr>
          <w:p w14:paraId="3C007A6B">
            <w:pPr>
              <w:pStyle w:val="63"/>
              <w:snapToGrid w:val="0"/>
              <w:spacing w:line="360" w:lineRule="auto"/>
              <w:ind w:firstLine="0" w:firstLineChars="0"/>
              <w:jc w:val="center"/>
              <w:rPr>
                <w:rFonts w:hint="eastAsia" w:ascii="宋体" w:hAnsi="宋体" w:cs="宋体"/>
              </w:rPr>
            </w:pPr>
            <w:r>
              <w:rPr>
                <w:rFonts w:hint="eastAsia" w:ascii="宋体" w:hAnsi="宋体" w:cs="宋体"/>
              </w:rPr>
              <w:t>供应商须知条款号</w:t>
            </w:r>
          </w:p>
        </w:tc>
        <w:tc>
          <w:tcPr>
            <w:tcW w:w="2088" w:type="dxa"/>
            <w:vAlign w:val="center"/>
          </w:tcPr>
          <w:p w14:paraId="79652B44">
            <w:pPr>
              <w:pStyle w:val="63"/>
              <w:snapToGrid w:val="0"/>
              <w:spacing w:line="360" w:lineRule="auto"/>
              <w:ind w:firstLine="0" w:firstLineChars="0"/>
              <w:jc w:val="center"/>
              <w:rPr>
                <w:rFonts w:hint="eastAsia" w:ascii="宋体" w:hAnsi="宋体" w:cs="宋体"/>
              </w:rPr>
            </w:pPr>
            <w:r>
              <w:rPr>
                <w:rFonts w:hint="eastAsia" w:ascii="宋体" w:hAnsi="宋体" w:cs="宋体"/>
              </w:rPr>
              <w:t>名称</w:t>
            </w:r>
          </w:p>
        </w:tc>
        <w:tc>
          <w:tcPr>
            <w:tcW w:w="6283" w:type="dxa"/>
            <w:vAlign w:val="center"/>
          </w:tcPr>
          <w:p w14:paraId="3939CC16">
            <w:pPr>
              <w:pStyle w:val="63"/>
              <w:snapToGrid w:val="0"/>
              <w:spacing w:line="360" w:lineRule="auto"/>
              <w:ind w:firstLine="0" w:firstLineChars="0"/>
              <w:jc w:val="center"/>
              <w:rPr>
                <w:rFonts w:hint="eastAsia" w:ascii="宋体" w:hAnsi="宋体" w:cs="宋体"/>
              </w:rPr>
            </w:pPr>
            <w:r>
              <w:rPr>
                <w:rFonts w:hint="eastAsia" w:ascii="宋体" w:hAnsi="宋体" w:cs="宋体"/>
              </w:rPr>
              <w:t>内容</w:t>
            </w:r>
          </w:p>
        </w:tc>
      </w:tr>
      <w:tr w14:paraId="370E4D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0" w:hRule="atLeast"/>
          <w:jc w:val="center"/>
        </w:trPr>
        <w:tc>
          <w:tcPr>
            <w:tcW w:w="1257" w:type="dxa"/>
            <w:vAlign w:val="center"/>
          </w:tcPr>
          <w:p w14:paraId="20C7F99C">
            <w:pPr>
              <w:pStyle w:val="63"/>
              <w:snapToGrid w:val="0"/>
              <w:spacing w:line="360" w:lineRule="auto"/>
              <w:ind w:firstLine="0" w:firstLineChars="0"/>
              <w:jc w:val="center"/>
              <w:rPr>
                <w:rFonts w:hint="eastAsia" w:ascii="宋体" w:hAnsi="宋体" w:cs="宋体"/>
              </w:rPr>
            </w:pPr>
            <w:r>
              <w:rPr>
                <w:rFonts w:hint="eastAsia" w:ascii="宋体" w:hAnsi="宋体" w:cs="宋体"/>
              </w:rPr>
              <w:t>1.3</w:t>
            </w:r>
          </w:p>
        </w:tc>
        <w:tc>
          <w:tcPr>
            <w:tcW w:w="2088" w:type="dxa"/>
            <w:vAlign w:val="center"/>
          </w:tcPr>
          <w:p w14:paraId="32BF90F1">
            <w:pPr>
              <w:pStyle w:val="63"/>
              <w:snapToGrid w:val="0"/>
              <w:spacing w:line="360" w:lineRule="auto"/>
              <w:ind w:firstLine="0" w:firstLineChars="0"/>
              <w:jc w:val="center"/>
              <w:rPr>
                <w:rFonts w:hint="eastAsia" w:ascii="宋体" w:hAnsi="宋体" w:cs="宋体"/>
              </w:rPr>
            </w:pPr>
            <w:r>
              <w:rPr>
                <w:rFonts w:hint="eastAsia" w:ascii="宋体" w:hAnsi="宋体" w:cs="宋体"/>
              </w:rPr>
              <w:t>采购人</w:t>
            </w:r>
          </w:p>
        </w:tc>
        <w:tc>
          <w:tcPr>
            <w:tcW w:w="6283" w:type="dxa"/>
            <w:vAlign w:val="center"/>
          </w:tcPr>
          <w:p w14:paraId="7A283B06">
            <w:pPr>
              <w:pStyle w:val="63"/>
              <w:snapToGrid w:val="0"/>
              <w:spacing w:line="360" w:lineRule="auto"/>
              <w:ind w:firstLine="0" w:firstLineChars="0"/>
              <w:rPr>
                <w:rFonts w:hint="eastAsia" w:ascii="宋体" w:hAnsi="宋体" w:cs="宋体"/>
                <w:kern w:val="0"/>
                <w:szCs w:val="21"/>
              </w:rPr>
            </w:pPr>
            <w:r>
              <w:rPr>
                <w:rFonts w:hint="eastAsia" w:ascii="宋体" w:hAnsi="宋体" w:cs="宋体"/>
                <w:kern w:val="0"/>
                <w:szCs w:val="21"/>
              </w:rPr>
              <w:t>采购人名称：浙江艺诚物业管理有限公司</w:t>
            </w:r>
          </w:p>
          <w:p w14:paraId="746D4E56">
            <w:pPr>
              <w:pStyle w:val="63"/>
              <w:snapToGrid w:val="0"/>
              <w:spacing w:line="360" w:lineRule="auto"/>
              <w:ind w:firstLine="0" w:firstLineChars="0"/>
              <w:rPr>
                <w:rFonts w:hint="eastAsia" w:ascii="宋体" w:hAnsi="宋体" w:cs="宋体"/>
                <w:kern w:val="0"/>
                <w:szCs w:val="21"/>
              </w:rPr>
            </w:pPr>
            <w:r>
              <w:rPr>
                <w:rFonts w:hint="eastAsia" w:ascii="宋体" w:hAnsi="宋体" w:cs="宋体"/>
                <w:kern w:val="0"/>
                <w:szCs w:val="21"/>
              </w:rPr>
              <w:t>地址：浙江省杭州市中山北路12号</w:t>
            </w:r>
          </w:p>
          <w:p w14:paraId="20632E82">
            <w:pPr>
              <w:pStyle w:val="63"/>
              <w:snapToGrid w:val="0"/>
              <w:spacing w:line="360" w:lineRule="auto"/>
              <w:ind w:firstLine="0" w:firstLineChars="0"/>
              <w:rPr>
                <w:rFonts w:hint="eastAsia" w:ascii="宋体" w:hAnsi="宋体" w:cs="宋体"/>
                <w:kern w:val="0"/>
                <w:szCs w:val="21"/>
              </w:rPr>
            </w:pPr>
            <w:r>
              <w:rPr>
                <w:rFonts w:hint="eastAsia" w:ascii="宋体" w:hAnsi="宋体" w:cs="宋体"/>
                <w:kern w:val="0"/>
                <w:szCs w:val="21"/>
              </w:rPr>
              <w:t>项目联系人：苏杭</w:t>
            </w:r>
          </w:p>
          <w:p w14:paraId="17FBEF0C">
            <w:pPr>
              <w:pStyle w:val="63"/>
              <w:snapToGrid w:val="0"/>
              <w:spacing w:line="360" w:lineRule="auto"/>
              <w:ind w:firstLine="0" w:firstLineChars="0"/>
              <w:rPr>
                <w:rFonts w:hint="eastAsia" w:ascii="宋体" w:hAnsi="宋体" w:cs="宋体"/>
                <w:kern w:val="0"/>
                <w:szCs w:val="21"/>
              </w:rPr>
            </w:pPr>
            <w:r>
              <w:rPr>
                <w:rFonts w:hint="eastAsia" w:ascii="宋体" w:hAnsi="宋体" w:cs="宋体"/>
                <w:kern w:val="0"/>
                <w:szCs w:val="21"/>
              </w:rPr>
              <w:t>项目联系方式：13819198898</w:t>
            </w:r>
          </w:p>
        </w:tc>
      </w:tr>
      <w:tr w14:paraId="6598EF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0" w:hRule="atLeast"/>
          <w:jc w:val="center"/>
        </w:trPr>
        <w:tc>
          <w:tcPr>
            <w:tcW w:w="1257" w:type="dxa"/>
            <w:vAlign w:val="center"/>
          </w:tcPr>
          <w:p w14:paraId="3AB5171D">
            <w:pPr>
              <w:pStyle w:val="63"/>
              <w:snapToGrid w:val="0"/>
              <w:spacing w:line="360" w:lineRule="auto"/>
              <w:ind w:firstLine="0" w:firstLineChars="0"/>
              <w:jc w:val="center"/>
              <w:rPr>
                <w:rFonts w:hint="eastAsia" w:ascii="宋体" w:hAnsi="宋体" w:cs="宋体"/>
              </w:rPr>
            </w:pPr>
            <w:r>
              <w:rPr>
                <w:rFonts w:hint="eastAsia" w:ascii="宋体" w:hAnsi="宋体" w:cs="宋体"/>
              </w:rPr>
              <w:t>1.3</w:t>
            </w:r>
          </w:p>
        </w:tc>
        <w:tc>
          <w:tcPr>
            <w:tcW w:w="2088" w:type="dxa"/>
            <w:vAlign w:val="center"/>
          </w:tcPr>
          <w:p w14:paraId="50448F19">
            <w:pPr>
              <w:pStyle w:val="63"/>
              <w:snapToGrid w:val="0"/>
              <w:spacing w:line="360" w:lineRule="auto"/>
              <w:ind w:firstLine="0" w:firstLineChars="0"/>
              <w:jc w:val="center"/>
              <w:rPr>
                <w:rFonts w:hint="eastAsia" w:ascii="宋体" w:hAnsi="宋体" w:cs="宋体"/>
              </w:rPr>
            </w:pPr>
            <w:r>
              <w:rPr>
                <w:rFonts w:hint="eastAsia" w:ascii="宋体" w:hAnsi="宋体" w:cs="宋体"/>
              </w:rPr>
              <w:t>采购代理机构</w:t>
            </w:r>
          </w:p>
        </w:tc>
        <w:tc>
          <w:tcPr>
            <w:tcW w:w="6283" w:type="dxa"/>
            <w:vAlign w:val="center"/>
          </w:tcPr>
          <w:p w14:paraId="71328A92">
            <w:pPr>
              <w:pStyle w:val="63"/>
              <w:snapToGrid w:val="0"/>
              <w:spacing w:line="360" w:lineRule="auto"/>
              <w:ind w:firstLine="0" w:firstLineChars="0"/>
              <w:rPr>
                <w:rFonts w:hint="eastAsia" w:ascii="宋体" w:hAnsi="宋体" w:cs="宋体"/>
                <w:kern w:val="0"/>
                <w:szCs w:val="21"/>
              </w:rPr>
            </w:pPr>
            <w:r>
              <w:rPr>
                <w:rFonts w:hint="eastAsia" w:ascii="宋体" w:hAnsi="宋体" w:cs="宋体"/>
                <w:kern w:val="0"/>
                <w:szCs w:val="21"/>
              </w:rPr>
              <w:t>采购代理机构信息</w:t>
            </w:r>
          </w:p>
          <w:p w14:paraId="3AFAF0BC">
            <w:pPr>
              <w:pStyle w:val="63"/>
              <w:snapToGrid w:val="0"/>
              <w:spacing w:line="360" w:lineRule="auto"/>
              <w:ind w:firstLine="0" w:firstLineChars="0"/>
              <w:rPr>
                <w:rFonts w:hint="eastAsia" w:ascii="宋体" w:hAnsi="宋体" w:cs="宋体"/>
                <w:kern w:val="0"/>
                <w:szCs w:val="21"/>
              </w:rPr>
            </w:pPr>
            <w:r>
              <w:rPr>
                <w:rFonts w:hint="eastAsia" w:ascii="宋体" w:hAnsi="宋体" w:cs="宋体"/>
                <w:kern w:val="0"/>
                <w:szCs w:val="21"/>
              </w:rPr>
              <w:t>名称：浙江万汇招标代理有限公司</w:t>
            </w:r>
          </w:p>
          <w:p w14:paraId="47F23323">
            <w:pPr>
              <w:pStyle w:val="63"/>
              <w:snapToGrid w:val="0"/>
              <w:spacing w:line="360" w:lineRule="auto"/>
              <w:ind w:firstLine="0" w:firstLineChars="0"/>
              <w:rPr>
                <w:rFonts w:hint="eastAsia" w:ascii="宋体" w:hAnsi="宋体" w:cs="宋体"/>
                <w:kern w:val="0"/>
                <w:szCs w:val="21"/>
              </w:rPr>
            </w:pPr>
            <w:r>
              <w:rPr>
                <w:rFonts w:hint="eastAsia" w:ascii="宋体" w:hAnsi="宋体" w:cs="宋体"/>
                <w:kern w:val="0"/>
                <w:szCs w:val="21"/>
              </w:rPr>
              <w:t>地址：杭州市拱墅区金开大厦裙楼2楼</w:t>
            </w:r>
          </w:p>
          <w:p w14:paraId="31A0B390">
            <w:pPr>
              <w:pStyle w:val="63"/>
              <w:snapToGrid w:val="0"/>
              <w:spacing w:line="360" w:lineRule="auto"/>
              <w:ind w:firstLine="0" w:firstLineChars="0"/>
              <w:rPr>
                <w:rFonts w:hint="eastAsia" w:ascii="宋体" w:hAnsi="宋体" w:cs="宋体"/>
                <w:kern w:val="0"/>
                <w:szCs w:val="21"/>
              </w:rPr>
            </w:pPr>
            <w:r>
              <w:rPr>
                <w:rFonts w:hint="eastAsia" w:ascii="宋体" w:hAnsi="宋体" w:cs="宋体"/>
                <w:kern w:val="0"/>
                <w:szCs w:val="21"/>
              </w:rPr>
              <w:t>传真：0571-87795077</w:t>
            </w:r>
          </w:p>
          <w:p w14:paraId="7D1559B9">
            <w:pPr>
              <w:pStyle w:val="63"/>
              <w:snapToGrid w:val="0"/>
              <w:spacing w:line="360" w:lineRule="auto"/>
              <w:ind w:firstLine="0" w:firstLineChars="0"/>
              <w:rPr>
                <w:rFonts w:hint="eastAsia" w:ascii="宋体" w:hAnsi="宋体" w:cs="宋体"/>
                <w:kern w:val="0"/>
                <w:szCs w:val="21"/>
              </w:rPr>
            </w:pPr>
            <w:r>
              <w:rPr>
                <w:rFonts w:hint="eastAsia" w:ascii="宋体" w:hAnsi="宋体" w:cs="宋体"/>
                <w:kern w:val="0"/>
                <w:szCs w:val="21"/>
              </w:rPr>
              <w:t>项目联系人（询问）：章亚威、代夫强</w:t>
            </w:r>
          </w:p>
          <w:p w14:paraId="37201A2D">
            <w:pPr>
              <w:pStyle w:val="63"/>
              <w:snapToGrid w:val="0"/>
              <w:spacing w:line="360" w:lineRule="auto"/>
              <w:ind w:firstLine="0" w:firstLineChars="0"/>
              <w:rPr>
                <w:rFonts w:hint="eastAsia" w:ascii="宋体" w:hAnsi="宋体" w:cs="宋体"/>
                <w:kern w:val="0"/>
                <w:szCs w:val="21"/>
              </w:rPr>
            </w:pPr>
            <w:r>
              <w:rPr>
                <w:rFonts w:hint="eastAsia" w:ascii="宋体" w:hAnsi="宋体" w:cs="宋体"/>
                <w:kern w:val="0"/>
                <w:szCs w:val="21"/>
              </w:rPr>
              <w:t>项目联系方式（询问）：0571-87795077、18268028684</w:t>
            </w:r>
          </w:p>
        </w:tc>
      </w:tr>
      <w:tr w14:paraId="4BB370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0" w:hRule="atLeast"/>
          <w:jc w:val="center"/>
        </w:trPr>
        <w:tc>
          <w:tcPr>
            <w:tcW w:w="1257" w:type="dxa"/>
            <w:vAlign w:val="center"/>
          </w:tcPr>
          <w:p w14:paraId="37295326">
            <w:pPr>
              <w:pStyle w:val="63"/>
              <w:snapToGrid w:val="0"/>
              <w:spacing w:line="360" w:lineRule="auto"/>
              <w:ind w:firstLine="0" w:firstLineChars="0"/>
              <w:jc w:val="center"/>
              <w:rPr>
                <w:rFonts w:hint="eastAsia" w:ascii="宋体" w:hAnsi="宋体" w:cs="宋体"/>
              </w:rPr>
            </w:pPr>
            <w:r>
              <w:rPr>
                <w:rFonts w:hint="eastAsia" w:ascii="宋体" w:hAnsi="宋体" w:cs="宋体"/>
              </w:rPr>
              <w:t>1.4</w:t>
            </w:r>
          </w:p>
        </w:tc>
        <w:tc>
          <w:tcPr>
            <w:tcW w:w="2088" w:type="dxa"/>
            <w:vAlign w:val="center"/>
          </w:tcPr>
          <w:p w14:paraId="4767BB7C">
            <w:pPr>
              <w:pStyle w:val="63"/>
              <w:snapToGrid w:val="0"/>
              <w:spacing w:line="360" w:lineRule="auto"/>
              <w:ind w:firstLine="0" w:firstLineChars="0"/>
              <w:jc w:val="center"/>
              <w:rPr>
                <w:rFonts w:hint="eastAsia" w:ascii="宋体" w:hAnsi="宋体" w:cs="宋体"/>
              </w:rPr>
            </w:pPr>
            <w:r>
              <w:rPr>
                <w:rFonts w:hint="eastAsia" w:ascii="宋体" w:hAnsi="宋体" w:cs="宋体"/>
              </w:rPr>
              <w:t>是否接受联合体参与</w:t>
            </w:r>
          </w:p>
        </w:tc>
        <w:tc>
          <w:tcPr>
            <w:tcW w:w="6283" w:type="dxa"/>
            <w:vAlign w:val="center"/>
          </w:tcPr>
          <w:p w14:paraId="7190665A">
            <w:pPr>
              <w:pStyle w:val="63"/>
              <w:snapToGrid w:val="0"/>
              <w:spacing w:line="360" w:lineRule="auto"/>
              <w:ind w:firstLine="0" w:firstLineChars="0"/>
              <w:rPr>
                <w:rFonts w:hint="eastAsia" w:ascii="宋体" w:hAnsi="宋体" w:cs="宋体"/>
              </w:rPr>
            </w:pPr>
            <w:r>
              <w:rPr>
                <w:rFonts w:hint="eastAsia" w:ascii="宋体" w:hAnsi="宋体" w:cs="宋体"/>
              </w:rPr>
              <w:t>否</w:t>
            </w:r>
          </w:p>
        </w:tc>
      </w:tr>
      <w:tr w14:paraId="70AF6C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0" w:hRule="atLeast"/>
          <w:jc w:val="center"/>
        </w:trPr>
        <w:tc>
          <w:tcPr>
            <w:tcW w:w="1257" w:type="dxa"/>
            <w:vAlign w:val="center"/>
          </w:tcPr>
          <w:p w14:paraId="3DF098D3">
            <w:pPr>
              <w:pStyle w:val="63"/>
              <w:snapToGrid w:val="0"/>
              <w:spacing w:line="360" w:lineRule="auto"/>
              <w:ind w:firstLine="0" w:firstLineChars="0"/>
              <w:jc w:val="center"/>
              <w:rPr>
                <w:rFonts w:hint="eastAsia" w:ascii="宋体" w:hAnsi="宋体" w:cs="宋体"/>
              </w:rPr>
            </w:pPr>
            <w:r>
              <w:rPr>
                <w:rFonts w:hint="eastAsia" w:ascii="宋体" w:hAnsi="宋体" w:cs="宋体"/>
              </w:rPr>
              <w:t>1.9</w:t>
            </w:r>
          </w:p>
        </w:tc>
        <w:tc>
          <w:tcPr>
            <w:tcW w:w="2088" w:type="dxa"/>
            <w:vAlign w:val="center"/>
          </w:tcPr>
          <w:p w14:paraId="5223AFD1">
            <w:pPr>
              <w:pStyle w:val="63"/>
              <w:snapToGrid w:val="0"/>
              <w:spacing w:line="360" w:lineRule="auto"/>
              <w:ind w:firstLine="0" w:firstLineChars="0"/>
              <w:jc w:val="center"/>
              <w:rPr>
                <w:rFonts w:hint="eastAsia" w:ascii="宋体" w:hAnsi="宋体" w:cs="宋体"/>
              </w:rPr>
            </w:pPr>
            <w:r>
              <w:rPr>
                <w:rFonts w:hint="eastAsia" w:ascii="宋体" w:hAnsi="宋体" w:cs="宋体"/>
              </w:rPr>
              <w:t>踏勘现场</w:t>
            </w:r>
          </w:p>
        </w:tc>
        <w:tc>
          <w:tcPr>
            <w:tcW w:w="6283" w:type="dxa"/>
            <w:vAlign w:val="center"/>
          </w:tcPr>
          <w:p w14:paraId="3E1CC49C">
            <w:pPr>
              <w:spacing w:line="360" w:lineRule="auto"/>
              <w:rPr>
                <w:rFonts w:hint="eastAsia" w:ascii="宋体" w:hAnsi="宋体" w:cs="宋体"/>
                <w:szCs w:val="21"/>
              </w:rPr>
            </w:pPr>
            <w:r>
              <w:rPr>
                <w:rFonts w:hint="eastAsia" w:ascii="宋体" w:hAnsi="宋体" w:cs="宋体"/>
                <w:kern w:val="0"/>
                <w:szCs w:val="21"/>
              </w:rPr>
              <w:t>不组织，供应商如有需要，经采购人同意后可自行前往，踏勘期间发生的费用或意外导致伤亡等一切责任和损失均由供应商自负。</w:t>
            </w:r>
          </w:p>
        </w:tc>
      </w:tr>
      <w:tr w14:paraId="64B74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0" w:hRule="atLeast"/>
          <w:jc w:val="center"/>
        </w:trPr>
        <w:tc>
          <w:tcPr>
            <w:tcW w:w="1257" w:type="dxa"/>
            <w:vAlign w:val="center"/>
          </w:tcPr>
          <w:p w14:paraId="14ED4C3D">
            <w:pPr>
              <w:pStyle w:val="63"/>
              <w:snapToGrid w:val="0"/>
              <w:spacing w:line="360" w:lineRule="auto"/>
              <w:ind w:firstLine="0" w:firstLineChars="0"/>
              <w:jc w:val="center"/>
              <w:rPr>
                <w:rFonts w:hint="eastAsia" w:ascii="宋体" w:hAnsi="宋体" w:cs="宋体"/>
              </w:rPr>
            </w:pPr>
            <w:r>
              <w:rPr>
                <w:rFonts w:hint="eastAsia" w:ascii="宋体" w:hAnsi="宋体" w:cs="宋体"/>
              </w:rPr>
              <w:t>1.10</w:t>
            </w:r>
          </w:p>
        </w:tc>
        <w:tc>
          <w:tcPr>
            <w:tcW w:w="2088" w:type="dxa"/>
            <w:vAlign w:val="center"/>
          </w:tcPr>
          <w:p w14:paraId="6E928551">
            <w:pPr>
              <w:pStyle w:val="63"/>
              <w:snapToGrid w:val="0"/>
              <w:spacing w:line="360" w:lineRule="auto"/>
              <w:ind w:firstLine="0" w:firstLineChars="0"/>
              <w:jc w:val="center"/>
              <w:rPr>
                <w:rFonts w:hint="eastAsia" w:ascii="宋体" w:hAnsi="宋体" w:cs="宋体"/>
              </w:rPr>
            </w:pPr>
            <w:r>
              <w:rPr>
                <w:rFonts w:hint="eastAsia" w:ascii="宋体" w:hAnsi="宋体" w:cs="宋体"/>
              </w:rPr>
              <w:t>答疑会</w:t>
            </w:r>
          </w:p>
        </w:tc>
        <w:tc>
          <w:tcPr>
            <w:tcW w:w="6283" w:type="dxa"/>
            <w:vAlign w:val="center"/>
          </w:tcPr>
          <w:p w14:paraId="0611675F">
            <w:pPr>
              <w:autoSpaceDE w:val="0"/>
              <w:autoSpaceDN w:val="0"/>
              <w:adjustRightInd w:val="0"/>
              <w:spacing w:line="360" w:lineRule="auto"/>
              <w:ind w:right="105" w:rightChars="50"/>
              <w:rPr>
                <w:rFonts w:hint="eastAsia" w:ascii="宋体" w:hAnsi="宋体" w:cs="宋体"/>
              </w:rPr>
            </w:pPr>
            <w:r>
              <w:rPr>
                <w:rFonts w:hint="eastAsia" w:ascii="宋体" w:hAnsi="宋体" w:cs="宋体"/>
                <w:kern w:val="0"/>
                <w:szCs w:val="21"/>
              </w:rPr>
              <w:t>不召开</w:t>
            </w:r>
          </w:p>
        </w:tc>
      </w:tr>
      <w:tr w14:paraId="722696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0" w:hRule="atLeast"/>
          <w:jc w:val="center"/>
        </w:trPr>
        <w:tc>
          <w:tcPr>
            <w:tcW w:w="1257" w:type="dxa"/>
            <w:vAlign w:val="center"/>
          </w:tcPr>
          <w:p w14:paraId="67198560">
            <w:pPr>
              <w:pStyle w:val="63"/>
              <w:snapToGrid w:val="0"/>
              <w:spacing w:line="360" w:lineRule="auto"/>
              <w:ind w:firstLine="0" w:firstLineChars="0"/>
              <w:jc w:val="center"/>
              <w:rPr>
                <w:rFonts w:hint="eastAsia" w:ascii="宋体" w:hAnsi="宋体" w:cs="宋体"/>
              </w:rPr>
            </w:pPr>
            <w:r>
              <w:rPr>
                <w:rFonts w:hint="eastAsia" w:ascii="宋体" w:hAnsi="宋体" w:cs="宋体"/>
              </w:rPr>
              <w:t>1.11</w:t>
            </w:r>
          </w:p>
        </w:tc>
        <w:tc>
          <w:tcPr>
            <w:tcW w:w="2088" w:type="dxa"/>
            <w:vAlign w:val="center"/>
          </w:tcPr>
          <w:p w14:paraId="591EAAA3">
            <w:pPr>
              <w:pStyle w:val="63"/>
              <w:snapToGrid w:val="0"/>
              <w:spacing w:line="360" w:lineRule="auto"/>
              <w:ind w:firstLine="0" w:firstLineChars="0"/>
              <w:jc w:val="center"/>
              <w:rPr>
                <w:rFonts w:hint="eastAsia" w:ascii="宋体" w:hAnsi="宋体" w:cs="宋体"/>
              </w:rPr>
            </w:pPr>
            <w:r>
              <w:rPr>
                <w:rFonts w:hint="eastAsia" w:ascii="宋体" w:hAnsi="宋体" w:cs="宋体"/>
              </w:rPr>
              <w:t>分包</w:t>
            </w:r>
          </w:p>
        </w:tc>
        <w:tc>
          <w:tcPr>
            <w:tcW w:w="6283" w:type="dxa"/>
            <w:vAlign w:val="center"/>
          </w:tcPr>
          <w:p w14:paraId="0885053C">
            <w:pPr>
              <w:autoSpaceDE w:val="0"/>
              <w:autoSpaceDN w:val="0"/>
              <w:adjustRightInd w:val="0"/>
              <w:spacing w:line="360" w:lineRule="auto"/>
              <w:ind w:right="105" w:rightChars="50"/>
              <w:rPr>
                <w:rFonts w:hint="eastAsia" w:ascii="宋体" w:hAnsi="宋体" w:cs="宋体"/>
              </w:rPr>
            </w:pPr>
            <w:r>
              <w:rPr>
                <w:rFonts w:hint="eastAsia" w:ascii="宋体" w:hAnsi="宋体" w:cs="宋体"/>
                <w:kern w:val="0"/>
                <w:szCs w:val="21"/>
              </w:rPr>
              <w:t>不允许</w:t>
            </w:r>
          </w:p>
        </w:tc>
      </w:tr>
      <w:tr w14:paraId="78C779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0" w:hRule="atLeast"/>
          <w:jc w:val="center"/>
        </w:trPr>
        <w:tc>
          <w:tcPr>
            <w:tcW w:w="1257" w:type="dxa"/>
            <w:vAlign w:val="center"/>
          </w:tcPr>
          <w:p w14:paraId="4D62E671">
            <w:pPr>
              <w:pStyle w:val="63"/>
              <w:snapToGrid w:val="0"/>
              <w:spacing w:line="360" w:lineRule="auto"/>
              <w:ind w:firstLine="0" w:firstLineChars="0"/>
              <w:jc w:val="center"/>
              <w:rPr>
                <w:rFonts w:hint="eastAsia" w:ascii="宋体" w:hAnsi="宋体" w:cs="宋体"/>
              </w:rPr>
            </w:pPr>
            <w:r>
              <w:rPr>
                <w:rFonts w:hint="eastAsia" w:ascii="宋体" w:hAnsi="宋体" w:cs="宋体"/>
              </w:rPr>
              <w:t>2.4.1</w:t>
            </w:r>
          </w:p>
        </w:tc>
        <w:tc>
          <w:tcPr>
            <w:tcW w:w="2088" w:type="dxa"/>
            <w:vAlign w:val="center"/>
          </w:tcPr>
          <w:p w14:paraId="662F5EAE">
            <w:pPr>
              <w:pStyle w:val="63"/>
              <w:snapToGrid w:val="0"/>
              <w:spacing w:line="360" w:lineRule="auto"/>
              <w:ind w:firstLine="0" w:firstLineChars="0"/>
              <w:jc w:val="center"/>
              <w:rPr>
                <w:rFonts w:hint="eastAsia" w:ascii="宋体" w:hAnsi="宋体" w:cs="宋体"/>
                <w:kern w:val="0"/>
                <w:szCs w:val="21"/>
              </w:rPr>
            </w:pPr>
            <w:r>
              <w:rPr>
                <w:rFonts w:hint="eastAsia" w:ascii="宋体" w:hAnsi="宋体" w:cs="宋体"/>
                <w:kern w:val="0"/>
                <w:szCs w:val="21"/>
              </w:rPr>
              <w:t>询疑截止时间及澄清形式</w:t>
            </w:r>
          </w:p>
        </w:tc>
        <w:tc>
          <w:tcPr>
            <w:tcW w:w="6283" w:type="dxa"/>
            <w:vAlign w:val="center"/>
          </w:tcPr>
          <w:p w14:paraId="42502D0D">
            <w:pPr>
              <w:pStyle w:val="63"/>
              <w:snapToGrid w:val="0"/>
              <w:spacing w:line="360" w:lineRule="auto"/>
              <w:ind w:firstLine="0" w:firstLineChars="0"/>
              <w:rPr>
                <w:rFonts w:hint="eastAsia" w:ascii="宋体" w:hAnsi="宋体" w:cs="宋体"/>
                <w:szCs w:val="21"/>
              </w:rPr>
            </w:pPr>
            <w:r>
              <w:rPr>
                <w:rFonts w:hint="eastAsia" w:ascii="宋体" w:hAnsi="宋体" w:cs="宋体"/>
              </w:rPr>
              <w:t>2026年</w:t>
            </w:r>
            <w:r>
              <w:rPr>
                <w:rFonts w:hint="eastAsia" w:ascii="宋体" w:hAnsi="宋体" w:cs="宋体"/>
                <w:lang w:val="en-US" w:eastAsia="zh-CN"/>
              </w:rPr>
              <w:t>6</w:t>
            </w:r>
            <w:r>
              <w:rPr>
                <w:rFonts w:hint="eastAsia" w:ascii="宋体" w:hAnsi="宋体" w:cs="宋体"/>
              </w:rPr>
              <w:t>月</w:t>
            </w:r>
            <w:r>
              <w:rPr>
                <w:rFonts w:hint="eastAsia" w:ascii="宋体" w:hAnsi="宋体" w:cs="宋体"/>
                <w:lang w:val="en-US" w:eastAsia="zh-CN"/>
              </w:rPr>
              <w:t>3</w:t>
            </w:r>
            <w:r>
              <w:rPr>
                <w:rFonts w:hint="eastAsia" w:ascii="宋体" w:hAnsi="宋体" w:cs="宋体"/>
              </w:rPr>
              <w:t>日17时30分前</w:t>
            </w:r>
            <w:r>
              <w:rPr>
                <w:rFonts w:hint="eastAsia" w:ascii="宋体" w:hAnsi="宋体" w:cs="宋体"/>
                <w:szCs w:val="21"/>
              </w:rPr>
              <w:t>以书面形式至采购代理机构并将电子稿件发至1786216262@qq.com或在乐采云平台在线提出。</w:t>
            </w:r>
          </w:p>
          <w:p w14:paraId="18DD1E85">
            <w:pPr>
              <w:spacing w:line="360" w:lineRule="auto"/>
              <w:rPr>
                <w:rFonts w:hint="eastAsia" w:ascii="宋体" w:hAnsi="宋体" w:cs="宋体"/>
                <w:b/>
                <w:bCs/>
                <w:kern w:val="0"/>
                <w:szCs w:val="21"/>
              </w:rPr>
            </w:pPr>
            <w:r>
              <w:rPr>
                <w:rFonts w:hint="eastAsia" w:ascii="宋体" w:hAnsi="宋体" w:cs="宋体"/>
                <w:b/>
                <w:bCs/>
                <w:kern w:val="0"/>
                <w:szCs w:val="21"/>
              </w:rPr>
              <w:t>在乐采云（https://www.lecaiyun.com/）上公开发布。在开启前，供应商人须随时关注网站的最新答疑信息，自动下载。</w:t>
            </w:r>
          </w:p>
          <w:p w14:paraId="75E8A323">
            <w:pPr>
              <w:spacing w:line="360" w:lineRule="auto"/>
              <w:rPr>
                <w:rFonts w:hint="eastAsia" w:ascii="宋体" w:hAnsi="宋体" w:cs="宋体"/>
                <w:szCs w:val="21"/>
              </w:rPr>
            </w:pPr>
            <w:r>
              <w:rPr>
                <w:rFonts w:hint="eastAsia" w:ascii="宋体" w:hAnsi="宋体" w:cs="宋体"/>
                <w:b/>
                <w:bCs/>
                <w:kern w:val="0"/>
                <w:szCs w:val="21"/>
              </w:rPr>
              <w:t>潜在供应商应自行关注乐采云（https://www.lecaiyun.com/）发布的补充文件信息，采购人不再一一通知。供应商因自身贻误行为导致响应失败的，责任自负。</w:t>
            </w:r>
          </w:p>
        </w:tc>
      </w:tr>
      <w:tr w14:paraId="4BB4DF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0" w:hRule="atLeast"/>
          <w:jc w:val="center"/>
        </w:trPr>
        <w:tc>
          <w:tcPr>
            <w:tcW w:w="1257" w:type="dxa"/>
            <w:vAlign w:val="center"/>
          </w:tcPr>
          <w:p w14:paraId="1782046E">
            <w:pPr>
              <w:pStyle w:val="63"/>
              <w:snapToGrid w:val="0"/>
              <w:spacing w:line="360" w:lineRule="auto"/>
              <w:ind w:firstLine="0" w:firstLineChars="0"/>
              <w:jc w:val="center"/>
              <w:rPr>
                <w:rFonts w:hint="eastAsia" w:ascii="宋体" w:hAnsi="宋体" w:cs="宋体"/>
              </w:rPr>
            </w:pPr>
            <w:r>
              <w:rPr>
                <w:rFonts w:hint="eastAsia" w:ascii="宋体" w:hAnsi="宋体" w:cs="宋体"/>
              </w:rPr>
              <w:t>3.3.3</w:t>
            </w:r>
          </w:p>
        </w:tc>
        <w:tc>
          <w:tcPr>
            <w:tcW w:w="2088" w:type="dxa"/>
            <w:vAlign w:val="center"/>
          </w:tcPr>
          <w:p w14:paraId="71F0B485">
            <w:pPr>
              <w:pStyle w:val="63"/>
              <w:snapToGrid w:val="0"/>
              <w:spacing w:line="360" w:lineRule="auto"/>
              <w:ind w:firstLine="0" w:firstLineChars="0"/>
              <w:jc w:val="center"/>
              <w:rPr>
                <w:rFonts w:hint="eastAsia" w:ascii="宋体" w:hAnsi="宋体" w:cs="宋体"/>
              </w:rPr>
            </w:pPr>
            <w:r>
              <w:rPr>
                <w:rFonts w:hint="eastAsia" w:ascii="宋体" w:hAnsi="宋体" w:cs="宋体"/>
              </w:rPr>
              <w:t>签字或盖章要求</w:t>
            </w:r>
          </w:p>
        </w:tc>
        <w:tc>
          <w:tcPr>
            <w:tcW w:w="6283" w:type="dxa"/>
            <w:vAlign w:val="center"/>
          </w:tcPr>
          <w:p w14:paraId="3A4A33E0">
            <w:pPr>
              <w:pStyle w:val="63"/>
              <w:snapToGrid w:val="0"/>
              <w:spacing w:line="360" w:lineRule="auto"/>
              <w:ind w:firstLine="0" w:firstLineChars="0"/>
              <w:rPr>
                <w:rFonts w:hint="eastAsia" w:ascii="宋体" w:hAnsi="宋体" w:cs="宋体"/>
              </w:rPr>
            </w:pPr>
            <w:r>
              <w:rPr>
                <w:rFonts w:hint="eastAsia" w:ascii="宋体" w:hAnsi="宋体" w:cs="宋体"/>
              </w:rPr>
              <w:t>响应文件按“响应文件格式”中提供的格式签署、盖章。</w:t>
            </w:r>
          </w:p>
        </w:tc>
      </w:tr>
      <w:tr w14:paraId="260DB0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0" w:hRule="atLeast"/>
          <w:jc w:val="center"/>
        </w:trPr>
        <w:tc>
          <w:tcPr>
            <w:tcW w:w="1257" w:type="dxa"/>
            <w:vAlign w:val="center"/>
          </w:tcPr>
          <w:p w14:paraId="74DD1AC2">
            <w:pPr>
              <w:pStyle w:val="63"/>
              <w:snapToGrid w:val="0"/>
              <w:spacing w:line="360" w:lineRule="auto"/>
              <w:ind w:firstLine="0" w:firstLineChars="0"/>
              <w:jc w:val="center"/>
              <w:rPr>
                <w:rFonts w:hint="eastAsia" w:ascii="宋体" w:hAnsi="宋体" w:cs="宋体"/>
              </w:rPr>
            </w:pPr>
            <w:r>
              <w:rPr>
                <w:rFonts w:hint="eastAsia" w:ascii="宋体" w:hAnsi="宋体" w:cs="宋体"/>
              </w:rPr>
              <w:t>3.3.4</w:t>
            </w:r>
          </w:p>
        </w:tc>
        <w:tc>
          <w:tcPr>
            <w:tcW w:w="2088" w:type="dxa"/>
            <w:vAlign w:val="center"/>
          </w:tcPr>
          <w:p w14:paraId="6158710C">
            <w:pPr>
              <w:pStyle w:val="63"/>
              <w:snapToGrid w:val="0"/>
              <w:spacing w:line="360" w:lineRule="auto"/>
              <w:ind w:firstLine="0" w:firstLineChars="0"/>
              <w:jc w:val="center"/>
              <w:rPr>
                <w:rFonts w:hint="eastAsia" w:ascii="宋体" w:hAnsi="宋体" w:cs="宋体"/>
              </w:rPr>
            </w:pPr>
            <w:r>
              <w:rPr>
                <w:rFonts w:hint="eastAsia" w:ascii="宋体" w:hAnsi="宋体" w:cs="宋体"/>
              </w:rPr>
              <w:t>响应文件制作要求</w:t>
            </w:r>
          </w:p>
        </w:tc>
        <w:tc>
          <w:tcPr>
            <w:tcW w:w="6283" w:type="dxa"/>
            <w:vAlign w:val="center"/>
          </w:tcPr>
          <w:p w14:paraId="18F5BAD8">
            <w:pPr>
              <w:pStyle w:val="63"/>
              <w:snapToGrid w:val="0"/>
              <w:spacing w:line="360" w:lineRule="auto"/>
              <w:ind w:firstLine="0" w:firstLineChars="0"/>
              <w:rPr>
                <w:rFonts w:hint="eastAsia" w:ascii="宋体" w:hAnsi="宋体" w:cs="宋体"/>
                <w:b/>
              </w:rPr>
            </w:pPr>
            <w:r>
              <w:rPr>
                <w:rFonts w:hint="eastAsia" w:ascii="宋体" w:hAnsi="宋体" w:cs="宋体"/>
                <w:b/>
              </w:rPr>
              <w:t>电子响应文件按“乐采云供应商项目采购-电子招投标操作指南”及本招标文件要求制作、加密传输。</w:t>
            </w:r>
          </w:p>
        </w:tc>
      </w:tr>
      <w:tr w14:paraId="00DAB7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0" w:hRule="atLeast"/>
          <w:jc w:val="center"/>
        </w:trPr>
        <w:tc>
          <w:tcPr>
            <w:tcW w:w="1257" w:type="dxa"/>
            <w:vAlign w:val="center"/>
          </w:tcPr>
          <w:p w14:paraId="762617C3">
            <w:pPr>
              <w:pStyle w:val="63"/>
              <w:snapToGrid w:val="0"/>
              <w:spacing w:line="360" w:lineRule="auto"/>
              <w:ind w:firstLine="0" w:firstLineChars="0"/>
              <w:jc w:val="center"/>
              <w:rPr>
                <w:rFonts w:hint="eastAsia" w:ascii="宋体" w:hAnsi="宋体" w:cs="宋体"/>
              </w:rPr>
            </w:pPr>
            <w:r>
              <w:rPr>
                <w:rFonts w:hint="eastAsia" w:ascii="宋体" w:hAnsi="宋体" w:cs="宋体"/>
              </w:rPr>
              <w:t>3.5.1</w:t>
            </w:r>
          </w:p>
        </w:tc>
        <w:tc>
          <w:tcPr>
            <w:tcW w:w="2088" w:type="dxa"/>
            <w:vAlign w:val="center"/>
          </w:tcPr>
          <w:p w14:paraId="2E6A8848">
            <w:pPr>
              <w:pStyle w:val="63"/>
              <w:snapToGrid w:val="0"/>
              <w:spacing w:line="360" w:lineRule="auto"/>
              <w:ind w:firstLine="0" w:firstLineChars="0"/>
              <w:jc w:val="center"/>
              <w:rPr>
                <w:rFonts w:hint="eastAsia" w:ascii="宋体" w:hAnsi="宋体" w:cs="宋体"/>
              </w:rPr>
            </w:pPr>
            <w:r>
              <w:rPr>
                <w:rFonts w:hint="eastAsia" w:ascii="宋体" w:hAnsi="宋体" w:cs="宋体"/>
              </w:rPr>
              <w:t>公开招标保证金</w:t>
            </w:r>
          </w:p>
        </w:tc>
        <w:tc>
          <w:tcPr>
            <w:tcW w:w="6283" w:type="dxa"/>
            <w:vAlign w:val="center"/>
          </w:tcPr>
          <w:p w14:paraId="47FAF01F">
            <w:pPr>
              <w:widowControl/>
              <w:snapToGrid w:val="0"/>
              <w:spacing w:line="360" w:lineRule="auto"/>
              <w:rPr>
                <w:rFonts w:hint="eastAsia" w:ascii="宋体" w:hAnsi="宋体" w:cs="宋体"/>
                <w:b/>
                <w:u w:val="single"/>
              </w:rPr>
            </w:pPr>
            <w:r>
              <w:rPr>
                <w:rFonts w:hint="eastAsia" w:ascii="宋体" w:hAnsi="宋体" w:cs="宋体"/>
                <w:szCs w:val="21"/>
              </w:rPr>
              <w:t>按“招标公告”规定。</w:t>
            </w:r>
          </w:p>
        </w:tc>
      </w:tr>
      <w:tr w14:paraId="1105E7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0" w:hRule="atLeast"/>
          <w:jc w:val="center"/>
        </w:trPr>
        <w:tc>
          <w:tcPr>
            <w:tcW w:w="1257" w:type="dxa"/>
            <w:vAlign w:val="center"/>
          </w:tcPr>
          <w:p w14:paraId="61BB5BC3">
            <w:pPr>
              <w:pStyle w:val="63"/>
              <w:snapToGrid w:val="0"/>
              <w:spacing w:line="360" w:lineRule="auto"/>
              <w:ind w:firstLine="0" w:firstLineChars="0"/>
              <w:jc w:val="center"/>
              <w:rPr>
                <w:rFonts w:hint="eastAsia" w:ascii="宋体" w:hAnsi="宋体" w:cs="宋体"/>
              </w:rPr>
            </w:pPr>
            <w:r>
              <w:rPr>
                <w:rFonts w:hint="eastAsia" w:ascii="宋体" w:hAnsi="宋体" w:cs="宋体"/>
              </w:rPr>
              <w:t>3.6.1</w:t>
            </w:r>
          </w:p>
        </w:tc>
        <w:tc>
          <w:tcPr>
            <w:tcW w:w="2088" w:type="dxa"/>
            <w:vAlign w:val="center"/>
          </w:tcPr>
          <w:p w14:paraId="6BBC2426">
            <w:pPr>
              <w:pStyle w:val="63"/>
              <w:snapToGrid w:val="0"/>
              <w:spacing w:line="360" w:lineRule="auto"/>
              <w:ind w:firstLine="0" w:firstLineChars="0"/>
              <w:jc w:val="center"/>
              <w:rPr>
                <w:rFonts w:hint="eastAsia" w:ascii="宋体" w:hAnsi="宋体" w:cs="宋体"/>
              </w:rPr>
            </w:pPr>
            <w:r>
              <w:rPr>
                <w:rFonts w:hint="eastAsia" w:ascii="宋体" w:hAnsi="宋体" w:cs="宋体"/>
              </w:rPr>
              <w:t>响应文件有效期</w:t>
            </w:r>
          </w:p>
        </w:tc>
        <w:tc>
          <w:tcPr>
            <w:tcW w:w="6283" w:type="dxa"/>
            <w:vAlign w:val="center"/>
          </w:tcPr>
          <w:p w14:paraId="2BC3C915">
            <w:pPr>
              <w:widowControl/>
              <w:snapToGrid w:val="0"/>
              <w:spacing w:line="360" w:lineRule="auto"/>
              <w:rPr>
                <w:rFonts w:hint="eastAsia" w:ascii="宋体" w:hAnsi="宋体" w:cs="宋体"/>
              </w:rPr>
            </w:pPr>
            <w:r>
              <w:rPr>
                <w:rFonts w:ascii="宋体" w:hAnsi="宋体" w:cs="宋体"/>
              </w:rPr>
              <w:t>自响应文件提交的截止时间起120天内</w:t>
            </w:r>
            <w:r>
              <w:rPr>
                <w:rFonts w:hint="eastAsia" w:ascii="宋体" w:hAnsi="宋体" w:cs="宋体"/>
              </w:rPr>
              <w:t>。</w:t>
            </w:r>
          </w:p>
        </w:tc>
      </w:tr>
      <w:tr w14:paraId="56C074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0" w:hRule="atLeast"/>
          <w:jc w:val="center"/>
        </w:trPr>
        <w:tc>
          <w:tcPr>
            <w:tcW w:w="1257" w:type="dxa"/>
            <w:vAlign w:val="center"/>
          </w:tcPr>
          <w:p w14:paraId="2A7F73F7">
            <w:pPr>
              <w:pStyle w:val="63"/>
              <w:snapToGrid w:val="0"/>
              <w:spacing w:line="360" w:lineRule="auto"/>
              <w:ind w:firstLine="0" w:firstLineChars="0"/>
              <w:jc w:val="center"/>
              <w:rPr>
                <w:rFonts w:hint="eastAsia" w:ascii="宋体" w:hAnsi="宋体" w:cs="宋体"/>
              </w:rPr>
            </w:pPr>
            <w:r>
              <w:rPr>
                <w:rFonts w:hint="eastAsia" w:ascii="宋体" w:hAnsi="宋体" w:cs="宋体"/>
              </w:rPr>
              <w:t>4.2.1</w:t>
            </w:r>
          </w:p>
        </w:tc>
        <w:tc>
          <w:tcPr>
            <w:tcW w:w="2088" w:type="dxa"/>
            <w:vAlign w:val="center"/>
          </w:tcPr>
          <w:p w14:paraId="769081F3">
            <w:pPr>
              <w:pStyle w:val="63"/>
              <w:snapToGrid w:val="0"/>
              <w:spacing w:line="360" w:lineRule="auto"/>
              <w:ind w:firstLine="0" w:firstLineChars="0"/>
              <w:jc w:val="center"/>
              <w:rPr>
                <w:rFonts w:hint="eastAsia" w:ascii="宋体" w:hAnsi="宋体" w:cs="宋体"/>
              </w:rPr>
            </w:pPr>
            <w:r>
              <w:rPr>
                <w:rFonts w:hint="eastAsia" w:ascii="宋体" w:hAnsi="宋体" w:cs="宋体"/>
              </w:rPr>
              <w:t>响应文件递交截止时间</w:t>
            </w:r>
          </w:p>
        </w:tc>
        <w:tc>
          <w:tcPr>
            <w:tcW w:w="6283" w:type="dxa"/>
            <w:vAlign w:val="center"/>
          </w:tcPr>
          <w:p w14:paraId="20D64276">
            <w:pPr>
              <w:pStyle w:val="63"/>
              <w:snapToGrid w:val="0"/>
              <w:spacing w:line="360" w:lineRule="auto"/>
              <w:ind w:firstLine="0" w:firstLineChars="0"/>
              <w:rPr>
                <w:rFonts w:hint="eastAsia" w:ascii="宋体" w:hAnsi="宋体" w:cs="宋体"/>
              </w:rPr>
            </w:pPr>
            <w:r>
              <w:rPr>
                <w:rFonts w:hint="eastAsia" w:ascii="宋体" w:hAnsi="宋体" w:cs="宋体"/>
                <w:szCs w:val="21"/>
              </w:rPr>
              <w:t>按“招标公告”规定。</w:t>
            </w:r>
          </w:p>
        </w:tc>
      </w:tr>
      <w:tr w14:paraId="7E10F3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0" w:hRule="atLeast"/>
          <w:jc w:val="center"/>
        </w:trPr>
        <w:tc>
          <w:tcPr>
            <w:tcW w:w="1257" w:type="dxa"/>
            <w:vAlign w:val="center"/>
          </w:tcPr>
          <w:p w14:paraId="302FC4C6">
            <w:pPr>
              <w:pStyle w:val="63"/>
              <w:snapToGrid w:val="0"/>
              <w:spacing w:line="360" w:lineRule="auto"/>
              <w:ind w:firstLine="0" w:firstLineChars="0"/>
              <w:jc w:val="center"/>
              <w:rPr>
                <w:rFonts w:hint="eastAsia" w:ascii="宋体" w:hAnsi="宋体" w:cs="宋体"/>
              </w:rPr>
            </w:pPr>
            <w:r>
              <w:rPr>
                <w:rFonts w:hint="eastAsia" w:ascii="宋体" w:hAnsi="宋体" w:cs="宋体"/>
              </w:rPr>
              <w:t>4.2.2</w:t>
            </w:r>
          </w:p>
        </w:tc>
        <w:tc>
          <w:tcPr>
            <w:tcW w:w="2088" w:type="dxa"/>
            <w:vAlign w:val="center"/>
          </w:tcPr>
          <w:p w14:paraId="339CBB6B">
            <w:pPr>
              <w:pStyle w:val="63"/>
              <w:snapToGrid w:val="0"/>
              <w:spacing w:line="360" w:lineRule="auto"/>
              <w:ind w:firstLine="0" w:firstLineChars="0"/>
              <w:jc w:val="center"/>
              <w:rPr>
                <w:rFonts w:hint="eastAsia" w:ascii="宋体" w:hAnsi="宋体" w:cs="宋体"/>
              </w:rPr>
            </w:pPr>
            <w:r>
              <w:rPr>
                <w:rFonts w:hint="eastAsia" w:ascii="宋体" w:hAnsi="宋体" w:cs="宋体"/>
              </w:rPr>
              <w:t>开启地点</w:t>
            </w:r>
          </w:p>
        </w:tc>
        <w:tc>
          <w:tcPr>
            <w:tcW w:w="6283" w:type="dxa"/>
            <w:vAlign w:val="center"/>
          </w:tcPr>
          <w:p w14:paraId="1ECEC965">
            <w:pPr>
              <w:pStyle w:val="63"/>
              <w:snapToGrid w:val="0"/>
              <w:spacing w:line="360" w:lineRule="auto"/>
              <w:ind w:firstLine="0" w:firstLineChars="0"/>
              <w:rPr>
                <w:rFonts w:hint="eastAsia" w:ascii="宋体" w:hAnsi="宋体" w:cs="宋体"/>
                <w:szCs w:val="21"/>
              </w:rPr>
            </w:pPr>
            <w:r>
              <w:rPr>
                <w:rFonts w:hint="eastAsia" w:ascii="宋体" w:hAnsi="宋体" w:cs="宋体"/>
                <w:szCs w:val="21"/>
              </w:rPr>
              <w:t>按“招标公告”规定。</w:t>
            </w:r>
          </w:p>
        </w:tc>
      </w:tr>
      <w:tr w14:paraId="7CC273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0" w:hRule="atLeast"/>
          <w:jc w:val="center"/>
        </w:trPr>
        <w:tc>
          <w:tcPr>
            <w:tcW w:w="1257" w:type="dxa"/>
            <w:vAlign w:val="center"/>
          </w:tcPr>
          <w:p w14:paraId="6B4CA8E8">
            <w:pPr>
              <w:pStyle w:val="63"/>
              <w:snapToGrid w:val="0"/>
              <w:spacing w:line="360" w:lineRule="auto"/>
              <w:ind w:firstLine="0" w:firstLineChars="0"/>
              <w:jc w:val="center"/>
              <w:rPr>
                <w:rFonts w:hint="eastAsia" w:ascii="宋体" w:hAnsi="宋体" w:cs="宋体"/>
              </w:rPr>
            </w:pPr>
            <w:r>
              <w:rPr>
                <w:rFonts w:hint="eastAsia" w:ascii="宋体" w:hAnsi="宋体" w:cs="宋体"/>
              </w:rPr>
              <w:t>5.1.1</w:t>
            </w:r>
          </w:p>
        </w:tc>
        <w:tc>
          <w:tcPr>
            <w:tcW w:w="2088" w:type="dxa"/>
            <w:vAlign w:val="center"/>
          </w:tcPr>
          <w:p w14:paraId="76F8BDCB">
            <w:pPr>
              <w:pStyle w:val="63"/>
              <w:snapToGrid w:val="0"/>
              <w:spacing w:line="360" w:lineRule="auto"/>
              <w:ind w:firstLine="0" w:firstLineChars="0"/>
              <w:jc w:val="center"/>
              <w:rPr>
                <w:rFonts w:hint="eastAsia" w:ascii="宋体" w:hAnsi="宋体" w:cs="宋体"/>
              </w:rPr>
            </w:pPr>
            <w:r>
              <w:rPr>
                <w:rFonts w:hint="eastAsia" w:ascii="宋体" w:hAnsi="宋体" w:cs="宋体"/>
              </w:rPr>
              <w:t>开启时间和地点</w:t>
            </w:r>
          </w:p>
        </w:tc>
        <w:tc>
          <w:tcPr>
            <w:tcW w:w="6283" w:type="dxa"/>
            <w:vAlign w:val="center"/>
          </w:tcPr>
          <w:p w14:paraId="3F961C24">
            <w:pPr>
              <w:pStyle w:val="63"/>
              <w:snapToGrid w:val="0"/>
              <w:spacing w:line="360" w:lineRule="auto"/>
              <w:ind w:firstLine="0" w:firstLineChars="0"/>
              <w:rPr>
                <w:rFonts w:hint="eastAsia" w:ascii="宋体" w:hAnsi="宋体" w:cs="宋体"/>
              </w:rPr>
            </w:pPr>
            <w:r>
              <w:rPr>
                <w:rFonts w:hint="eastAsia" w:ascii="宋体" w:hAnsi="宋体" w:cs="宋体"/>
                <w:szCs w:val="21"/>
              </w:rPr>
              <w:t>按“招标公告”规定。</w:t>
            </w:r>
          </w:p>
        </w:tc>
      </w:tr>
      <w:tr w14:paraId="6C6090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3" w:hRule="atLeast"/>
          <w:jc w:val="center"/>
        </w:trPr>
        <w:tc>
          <w:tcPr>
            <w:tcW w:w="1257" w:type="dxa"/>
            <w:vAlign w:val="center"/>
          </w:tcPr>
          <w:p w14:paraId="4AD9FC0A">
            <w:pPr>
              <w:pStyle w:val="63"/>
              <w:snapToGrid w:val="0"/>
              <w:spacing w:line="360" w:lineRule="auto"/>
              <w:ind w:firstLine="0" w:firstLineChars="0"/>
              <w:jc w:val="center"/>
              <w:rPr>
                <w:rFonts w:hint="eastAsia" w:ascii="宋体" w:hAnsi="宋体" w:cs="宋体"/>
              </w:rPr>
            </w:pPr>
            <w:r>
              <w:rPr>
                <w:rFonts w:hint="eastAsia" w:ascii="宋体" w:hAnsi="宋体" w:cs="宋体"/>
              </w:rPr>
              <w:t>6.13</w:t>
            </w:r>
          </w:p>
        </w:tc>
        <w:tc>
          <w:tcPr>
            <w:tcW w:w="2088" w:type="dxa"/>
            <w:vAlign w:val="center"/>
          </w:tcPr>
          <w:p w14:paraId="27A6F9DB">
            <w:pPr>
              <w:pStyle w:val="63"/>
              <w:snapToGrid w:val="0"/>
              <w:spacing w:line="360" w:lineRule="auto"/>
              <w:ind w:firstLine="0" w:firstLineChars="0"/>
              <w:jc w:val="center"/>
              <w:rPr>
                <w:rFonts w:hint="eastAsia" w:ascii="宋体" w:hAnsi="宋体" w:cs="宋体"/>
              </w:rPr>
            </w:pPr>
            <w:r>
              <w:rPr>
                <w:rFonts w:hint="eastAsia" w:ascii="宋体" w:hAnsi="宋体" w:cs="宋体"/>
              </w:rPr>
              <w:t>履约保证金</w:t>
            </w:r>
          </w:p>
        </w:tc>
        <w:tc>
          <w:tcPr>
            <w:tcW w:w="6283" w:type="dxa"/>
            <w:vAlign w:val="center"/>
          </w:tcPr>
          <w:p w14:paraId="4BCC0174">
            <w:pPr>
              <w:pStyle w:val="63"/>
              <w:snapToGrid w:val="0"/>
              <w:spacing w:line="360" w:lineRule="auto"/>
              <w:ind w:firstLine="0" w:firstLineChars="0"/>
              <w:rPr>
                <w:rFonts w:hint="eastAsia" w:ascii="宋体" w:hAnsi="宋体" w:cs="宋体"/>
              </w:rPr>
            </w:pPr>
            <w:r>
              <w:rPr>
                <w:rFonts w:hint="eastAsia" w:ascii="宋体" w:hAnsi="宋体" w:cs="宋体"/>
              </w:rPr>
              <w:t xml:space="preserve">本项不缴纳目。    </w:t>
            </w:r>
          </w:p>
        </w:tc>
      </w:tr>
      <w:tr w14:paraId="414858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0" w:hRule="atLeast"/>
          <w:jc w:val="center"/>
        </w:trPr>
        <w:tc>
          <w:tcPr>
            <w:tcW w:w="3345" w:type="dxa"/>
            <w:gridSpan w:val="2"/>
            <w:vAlign w:val="center"/>
          </w:tcPr>
          <w:p w14:paraId="4F86761E">
            <w:pPr>
              <w:pStyle w:val="63"/>
              <w:snapToGrid w:val="0"/>
              <w:spacing w:line="360" w:lineRule="auto"/>
              <w:ind w:firstLine="0" w:firstLineChars="0"/>
              <w:jc w:val="center"/>
              <w:rPr>
                <w:rFonts w:hint="eastAsia" w:ascii="宋体" w:hAnsi="宋体" w:cs="宋体"/>
                <w:b/>
              </w:rPr>
            </w:pPr>
            <w:r>
              <w:rPr>
                <w:rFonts w:hint="eastAsia" w:ascii="宋体" w:hAnsi="宋体" w:cs="宋体"/>
                <w:b/>
              </w:rPr>
              <w:t>采购代理服务费</w:t>
            </w:r>
          </w:p>
        </w:tc>
        <w:tc>
          <w:tcPr>
            <w:tcW w:w="6283" w:type="dxa"/>
            <w:vAlign w:val="center"/>
          </w:tcPr>
          <w:p w14:paraId="746E29D9">
            <w:pPr>
              <w:pStyle w:val="63"/>
              <w:snapToGrid w:val="0"/>
              <w:spacing w:line="360" w:lineRule="auto"/>
              <w:ind w:firstLine="0" w:firstLineChars="0"/>
              <w:rPr>
                <w:rFonts w:hint="eastAsia" w:ascii="宋体" w:hAnsi="宋体" w:cs="宋体"/>
                <w:b/>
                <w:szCs w:val="21"/>
              </w:rPr>
            </w:pPr>
            <w:r>
              <w:rPr>
                <w:rFonts w:hint="eastAsia" w:ascii="宋体" w:hAnsi="宋体" w:cs="宋体"/>
                <w:szCs w:val="21"/>
              </w:rPr>
              <w:t>本项目的采购代理费由中标人支付，费用标准以单个项目的成交金额为计算基数，按国家计委关于印发《采购代理服务收费管理暂行办法》的通知计价格[2002]1980号文件标准费率收取。采购代理费</w:t>
            </w:r>
            <w:r>
              <w:rPr>
                <w:rFonts w:hint="eastAsia" w:ascii="宋体" w:hAnsi="宋体" w:cs="宋体"/>
              </w:rPr>
              <w:t>包含在投标总价中，在发出中标通知书时由各中标人以汇票/支票/电汇直接支付给招标代理机构。</w:t>
            </w:r>
          </w:p>
        </w:tc>
      </w:tr>
      <w:tr w14:paraId="2AF11A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53" w:hRule="atLeast"/>
          <w:jc w:val="center"/>
        </w:trPr>
        <w:tc>
          <w:tcPr>
            <w:tcW w:w="3345" w:type="dxa"/>
            <w:gridSpan w:val="2"/>
            <w:vAlign w:val="center"/>
          </w:tcPr>
          <w:p w14:paraId="0F7AEB3A">
            <w:pPr>
              <w:snapToGrid w:val="0"/>
              <w:spacing w:line="360" w:lineRule="auto"/>
              <w:jc w:val="center"/>
              <w:rPr>
                <w:rFonts w:hint="eastAsia" w:ascii="宋体" w:hAnsi="宋体" w:cs="宋体"/>
                <w:b/>
                <w:kern w:val="0"/>
              </w:rPr>
            </w:pPr>
            <w:r>
              <w:rPr>
                <w:rFonts w:hint="eastAsia" w:ascii="宋体" w:hAnsi="宋体" w:cs="宋体"/>
                <w:b/>
                <w:kern w:val="0"/>
              </w:rPr>
              <w:t>其他</w:t>
            </w:r>
          </w:p>
        </w:tc>
        <w:tc>
          <w:tcPr>
            <w:tcW w:w="6283" w:type="dxa"/>
            <w:vAlign w:val="center"/>
          </w:tcPr>
          <w:p w14:paraId="799ED227">
            <w:pPr>
              <w:numPr>
                <w:ilvl w:val="255"/>
                <w:numId w:val="0"/>
              </w:numPr>
              <w:snapToGrid w:val="0"/>
              <w:spacing w:line="360" w:lineRule="auto"/>
              <w:ind w:left="316" w:hanging="316" w:hangingChars="150"/>
              <w:rPr>
                <w:rFonts w:hint="eastAsia" w:ascii="宋体" w:hAnsi="宋体" w:cs="宋体"/>
                <w:b/>
              </w:rPr>
            </w:pPr>
            <w:r>
              <w:rPr>
                <w:rFonts w:hint="eastAsia" w:ascii="宋体" w:hAnsi="宋体" w:cs="宋体"/>
                <w:b/>
              </w:rPr>
              <w:t>1、请各供应商获取本文件后自行核对，如有缺页、错装等情况请于当日向采购代理机构提出，如未提出，所有责任及由此造成的后果由供应商自负。</w:t>
            </w:r>
          </w:p>
          <w:p w14:paraId="5CF12A50">
            <w:pPr>
              <w:snapToGrid w:val="0"/>
              <w:spacing w:line="360" w:lineRule="auto"/>
              <w:ind w:left="316" w:hanging="316" w:hangingChars="150"/>
              <w:rPr>
                <w:rFonts w:hint="eastAsia" w:ascii="宋体" w:hAnsi="宋体" w:cs="宋体"/>
                <w:b/>
                <w:snapToGrid w:val="0"/>
                <w:kern w:val="0"/>
                <w:szCs w:val="21"/>
              </w:rPr>
            </w:pPr>
            <w:r>
              <w:rPr>
                <w:rFonts w:hint="eastAsia" w:ascii="宋体" w:hAnsi="宋体" w:cs="宋体"/>
                <w:b/>
                <w:snapToGrid w:val="0"/>
                <w:kern w:val="0"/>
                <w:szCs w:val="21"/>
              </w:rPr>
              <w:t>2、</w:t>
            </w:r>
            <w:r>
              <w:rPr>
                <w:rFonts w:hint="eastAsia" w:ascii="宋体" w:hAnsi="宋体" w:cs="宋体"/>
                <w:b/>
                <w:snapToGrid w:val="0"/>
                <w:kern w:val="0"/>
              </w:rPr>
              <w:t>请供应商仔细阅读本招标文件，其中带“</w:t>
            </w:r>
            <w:r>
              <w:rPr>
                <w:rFonts w:hint="eastAsia" w:ascii="宋体" w:hAnsi="宋体" w:cs="宋体"/>
              </w:rPr>
              <w:t>▲</w:t>
            </w:r>
            <w:r>
              <w:rPr>
                <w:rFonts w:hint="eastAsia" w:ascii="宋体" w:hAnsi="宋体" w:cs="宋体"/>
                <w:b/>
                <w:snapToGrid w:val="0"/>
                <w:kern w:val="0"/>
              </w:rPr>
              <w:t>”标记的条款为实质性内容，供应商须对带“</w:t>
            </w:r>
            <w:r>
              <w:rPr>
                <w:rFonts w:hint="eastAsia" w:ascii="宋体" w:hAnsi="宋体" w:cs="宋体"/>
              </w:rPr>
              <w:t>▲</w:t>
            </w:r>
            <w:r>
              <w:rPr>
                <w:rFonts w:hint="eastAsia" w:ascii="宋体" w:hAnsi="宋体" w:cs="宋体"/>
                <w:b/>
                <w:snapToGrid w:val="0"/>
                <w:kern w:val="0"/>
              </w:rPr>
              <w:t>”标记的条款作出实质性响应。</w:t>
            </w:r>
          </w:p>
        </w:tc>
      </w:tr>
    </w:tbl>
    <w:p w14:paraId="7E9464BE">
      <w:pPr>
        <w:pStyle w:val="3"/>
        <w:rPr>
          <w:rFonts w:hint="eastAsia" w:ascii="宋体" w:hAnsi="宋体" w:cs="宋体"/>
          <w:color w:val="auto"/>
        </w:rPr>
      </w:pPr>
      <w:r>
        <w:rPr>
          <w:rFonts w:hint="eastAsia" w:ascii="宋体" w:hAnsi="宋体" w:cs="宋体"/>
          <w:color w:val="auto"/>
        </w:rPr>
        <w:br w:type="page"/>
      </w:r>
    </w:p>
    <w:p w14:paraId="1DE9BED8">
      <w:pPr>
        <w:pStyle w:val="4"/>
        <w:ind w:firstLine="422"/>
        <w:rPr>
          <w:rFonts w:hint="eastAsia" w:ascii="宋体" w:hAnsi="宋体" w:cs="宋体"/>
        </w:rPr>
      </w:pPr>
      <w:r>
        <w:rPr>
          <w:rFonts w:hint="eastAsia" w:ascii="宋体" w:hAnsi="宋体" w:cs="宋体"/>
        </w:rPr>
        <w:t>一、总则</w:t>
      </w:r>
    </w:p>
    <w:p w14:paraId="2B4B14A6">
      <w:pPr>
        <w:pStyle w:val="63"/>
        <w:spacing w:line="360" w:lineRule="auto"/>
        <w:ind w:firstLine="420"/>
        <w:rPr>
          <w:rFonts w:hint="eastAsia" w:ascii="宋体" w:hAnsi="宋体" w:cs="宋体"/>
        </w:rPr>
      </w:pPr>
      <w:r>
        <w:rPr>
          <w:rFonts w:hint="eastAsia" w:ascii="宋体" w:hAnsi="宋体" w:cs="宋体"/>
        </w:rPr>
        <w:t>1.1 实施依据</w:t>
      </w:r>
    </w:p>
    <w:p w14:paraId="7A63F646">
      <w:pPr>
        <w:pStyle w:val="63"/>
        <w:spacing w:line="360" w:lineRule="auto"/>
        <w:ind w:firstLine="420"/>
        <w:rPr>
          <w:rFonts w:hint="eastAsia" w:ascii="宋体" w:hAnsi="宋体" w:cs="宋体"/>
        </w:rPr>
      </w:pPr>
      <w:r>
        <w:rPr>
          <w:rFonts w:hint="eastAsia" w:ascii="宋体" w:hAnsi="宋体" w:cs="宋体"/>
        </w:rPr>
        <w:t>本次采购工作是参考相关法律、法规、规章、文件的规定组织和实施。</w:t>
      </w:r>
    </w:p>
    <w:p w14:paraId="67EBD0B1">
      <w:pPr>
        <w:pStyle w:val="63"/>
        <w:spacing w:line="360" w:lineRule="auto"/>
        <w:ind w:firstLine="420"/>
        <w:rPr>
          <w:rFonts w:hint="eastAsia" w:ascii="宋体" w:hAnsi="宋体" w:cs="宋体"/>
        </w:rPr>
      </w:pPr>
      <w:r>
        <w:rPr>
          <w:rFonts w:hint="eastAsia" w:ascii="宋体" w:hAnsi="宋体" w:cs="宋体"/>
        </w:rPr>
        <w:t>1.2 采购方式：公开招标</w:t>
      </w:r>
    </w:p>
    <w:p w14:paraId="5CB1FA7A">
      <w:pPr>
        <w:pStyle w:val="63"/>
        <w:spacing w:line="360" w:lineRule="auto"/>
        <w:ind w:firstLine="420"/>
        <w:rPr>
          <w:rFonts w:hint="eastAsia" w:ascii="宋体" w:hAnsi="宋体" w:cs="宋体"/>
        </w:rPr>
      </w:pPr>
      <w:r>
        <w:rPr>
          <w:rFonts w:hint="eastAsia" w:ascii="宋体" w:hAnsi="宋体" w:cs="宋体"/>
        </w:rPr>
        <w:t>1.3 定义</w:t>
      </w:r>
    </w:p>
    <w:p w14:paraId="32E314E7">
      <w:pPr>
        <w:pStyle w:val="63"/>
        <w:spacing w:line="360" w:lineRule="auto"/>
        <w:ind w:firstLine="420"/>
        <w:rPr>
          <w:rFonts w:hint="eastAsia" w:ascii="宋体" w:hAnsi="宋体" w:cs="宋体"/>
        </w:rPr>
      </w:pPr>
      <w:r>
        <w:rPr>
          <w:rFonts w:hint="eastAsia" w:ascii="宋体" w:hAnsi="宋体" w:cs="宋体"/>
        </w:rPr>
        <w:t>采购人：是指进行采购的国家机关、事业单位、团体组织，见“供应商须知前附表”；</w:t>
      </w:r>
    </w:p>
    <w:p w14:paraId="4CA5C20D">
      <w:pPr>
        <w:pStyle w:val="63"/>
        <w:spacing w:line="360" w:lineRule="auto"/>
        <w:ind w:firstLine="420"/>
        <w:rPr>
          <w:rFonts w:hint="eastAsia" w:ascii="宋体" w:hAnsi="宋体" w:cs="宋体"/>
        </w:rPr>
      </w:pPr>
      <w:r>
        <w:rPr>
          <w:rFonts w:hint="eastAsia" w:ascii="宋体" w:hAnsi="宋体" w:cs="宋体"/>
        </w:rPr>
        <w:t>采购代理机构：受采购人委托，在委托的范围内办理采购事宜的机构，见“供应商须知前附表”；</w:t>
      </w:r>
    </w:p>
    <w:p w14:paraId="0E12484A">
      <w:pPr>
        <w:pStyle w:val="63"/>
        <w:spacing w:line="360" w:lineRule="auto"/>
        <w:ind w:firstLine="420"/>
        <w:rPr>
          <w:rFonts w:hint="eastAsia" w:ascii="宋体" w:hAnsi="宋体" w:cs="宋体"/>
        </w:rPr>
      </w:pPr>
      <w:r>
        <w:rPr>
          <w:rFonts w:hint="eastAsia" w:ascii="宋体" w:hAnsi="宋体" w:cs="宋体"/>
        </w:rPr>
        <w:t>供应商：是指参加本采购项目公开招标的供应商；</w:t>
      </w:r>
    </w:p>
    <w:p w14:paraId="6E6BF102">
      <w:pPr>
        <w:pStyle w:val="63"/>
        <w:spacing w:line="360" w:lineRule="auto"/>
        <w:ind w:firstLine="420"/>
        <w:rPr>
          <w:rFonts w:hint="eastAsia" w:ascii="宋体" w:hAnsi="宋体" w:cs="宋体"/>
        </w:rPr>
      </w:pPr>
      <w:r>
        <w:rPr>
          <w:rFonts w:hint="eastAsia" w:ascii="宋体" w:hAnsi="宋体" w:cs="宋体"/>
        </w:rPr>
        <w:t>供应商代表：是指参加本项目采购活动的供应商法定代表人（单位负责人）或法定代表人（单位负责人）授权代表；</w:t>
      </w:r>
    </w:p>
    <w:p w14:paraId="3E09C76C">
      <w:pPr>
        <w:pStyle w:val="63"/>
        <w:spacing w:line="360" w:lineRule="auto"/>
        <w:ind w:firstLine="420"/>
        <w:rPr>
          <w:rFonts w:hint="eastAsia" w:ascii="宋体" w:hAnsi="宋体" w:cs="宋体"/>
        </w:rPr>
      </w:pPr>
      <w:r>
        <w:rPr>
          <w:rFonts w:hint="eastAsia" w:ascii="宋体" w:hAnsi="宋体" w:cs="宋体"/>
        </w:rPr>
        <w:t>甲方：是指合同签订的一方，一般与采购人、用户相同；</w:t>
      </w:r>
    </w:p>
    <w:p w14:paraId="18345114">
      <w:pPr>
        <w:pStyle w:val="63"/>
        <w:spacing w:line="360" w:lineRule="auto"/>
        <w:ind w:firstLine="420"/>
        <w:rPr>
          <w:rFonts w:hint="eastAsia" w:ascii="宋体" w:hAnsi="宋体" w:cs="宋体"/>
        </w:rPr>
      </w:pPr>
      <w:r>
        <w:rPr>
          <w:rFonts w:hint="eastAsia" w:ascii="宋体" w:hAnsi="宋体" w:cs="宋体"/>
        </w:rPr>
        <w:t>乙方：是指合同签订的另一方，与成交人相同；</w:t>
      </w:r>
    </w:p>
    <w:p w14:paraId="2A1733C0">
      <w:pPr>
        <w:pStyle w:val="63"/>
        <w:spacing w:line="360" w:lineRule="auto"/>
        <w:ind w:firstLine="420"/>
        <w:rPr>
          <w:rFonts w:hint="eastAsia" w:ascii="宋体" w:hAnsi="宋体" w:cs="宋体"/>
        </w:rPr>
      </w:pPr>
      <w:r>
        <w:rPr>
          <w:rFonts w:hint="eastAsia" w:ascii="宋体" w:hAnsi="宋体" w:cs="宋体"/>
        </w:rPr>
        <w:t>1.4.供应商须知前附表规定不接受联合体参与。</w:t>
      </w:r>
    </w:p>
    <w:p w14:paraId="57290B2A">
      <w:pPr>
        <w:adjustRightInd w:val="0"/>
        <w:snapToGrid w:val="0"/>
        <w:spacing w:line="360" w:lineRule="auto"/>
        <w:ind w:firstLine="420" w:firstLineChars="200"/>
        <w:rPr>
          <w:rFonts w:hint="eastAsia" w:ascii="宋体" w:hAnsi="宋体" w:cs="宋体"/>
          <w:bCs/>
        </w:rPr>
      </w:pPr>
      <w:r>
        <w:rPr>
          <w:rFonts w:hint="eastAsia" w:ascii="宋体" w:hAnsi="宋体" w:cs="宋体"/>
          <w:bCs/>
        </w:rPr>
        <w:t>1.5 费用</w:t>
      </w:r>
    </w:p>
    <w:p w14:paraId="5C9E2FDC">
      <w:pPr>
        <w:adjustRightInd w:val="0"/>
        <w:snapToGrid w:val="0"/>
        <w:spacing w:line="360" w:lineRule="auto"/>
        <w:ind w:firstLine="420" w:firstLineChars="200"/>
        <w:rPr>
          <w:rFonts w:hint="eastAsia" w:ascii="宋体" w:hAnsi="宋体" w:cs="宋体"/>
          <w:b/>
          <w:bCs/>
        </w:rPr>
      </w:pPr>
      <w:r>
        <w:rPr>
          <w:rFonts w:hint="eastAsia" w:ascii="宋体" w:hAnsi="宋体" w:cs="宋体"/>
        </w:rPr>
        <w:t>无论投标过程中的做法和结果如何，供应商自行承担采购活动中所发生的全部费用。</w:t>
      </w:r>
    </w:p>
    <w:p w14:paraId="3B9EF073">
      <w:pPr>
        <w:adjustRightInd w:val="0"/>
        <w:snapToGrid w:val="0"/>
        <w:spacing w:line="360" w:lineRule="auto"/>
        <w:ind w:firstLine="420" w:firstLineChars="200"/>
        <w:rPr>
          <w:rFonts w:hint="eastAsia" w:ascii="宋体" w:hAnsi="宋体" w:cs="宋体"/>
        </w:rPr>
      </w:pPr>
      <w:r>
        <w:rPr>
          <w:rFonts w:hint="eastAsia" w:ascii="宋体" w:hAnsi="宋体" w:cs="宋体"/>
        </w:rPr>
        <w:t>1.6 保密</w:t>
      </w:r>
    </w:p>
    <w:p w14:paraId="5B7B4A56">
      <w:pPr>
        <w:adjustRightInd w:val="0"/>
        <w:snapToGrid w:val="0"/>
        <w:spacing w:line="360" w:lineRule="auto"/>
        <w:ind w:firstLine="420" w:firstLineChars="200"/>
        <w:rPr>
          <w:rFonts w:hint="eastAsia" w:ascii="宋体" w:hAnsi="宋体" w:cs="宋体"/>
        </w:rPr>
      </w:pPr>
      <w:r>
        <w:rPr>
          <w:rFonts w:hint="eastAsia" w:ascii="宋体" w:hAnsi="宋体" w:cs="宋体"/>
        </w:rPr>
        <w:t>参与采购活动的各方应对招标文件和响应文件中的商业和技术等秘密保密，违者应对此造成的后果承担法律责任。</w:t>
      </w:r>
    </w:p>
    <w:p w14:paraId="23DFA7ED">
      <w:pPr>
        <w:adjustRightInd w:val="0"/>
        <w:snapToGrid w:val="0"/>
        <w:spacing w:line="360" w:lineRule="auto"/>
        <w:ind w:firstLine="420" w:firstLineChars="200"/>
        <w:rPr>
          <w:rFonts w:hint="eastAsia" w:ascii="宋体" w:hAnsi="宋体" w:cs="宋体"/>
        </w:rPr>
      </w:pPr>
      <w:r>
        <w:rPr>
          <w:rFonts w:hint="eastAsia" w:ascii="宋体" w:hAnsi="宋体" w:cs="宋体"/>
        </w:rPr>
        <w:t>1.7 语言文字</w:t>
      </w:r>
    </w:p>
    <w:p w14:paraId="5639EB0A">
      <w:pPr>
        <w:adjustRightInd w:val="0"/>
        <w:snapToGrid w:val="0"/>
        <w:spacing w:line="360" w:lineRule="auto"/>
        <w:ind w:firstLine="420" w:firstLineChars="200"/>
        <w:rPr>
          <w:rFonts w:hint="eastAsia" w:ascii="宋体" w:hAnsi="宋体" w:cs="宋体"/>
        </w:rPr>
      </w:pPr>
      <w:r>
        <w:rPr>
          <w:rFonts w:hint="eastAsia" w:ascii="宋体" w:hAnsi="宋体" w:cs="宋体"/>
        </w:rPr>
        <w:t>除专用术语外，与公开招标有关的语言使用中文。专用术语应附有中文注释。</w:t>
      </w:r>
    </w:p>
    <w:p w14:paraId="06FAC477">
      <w:pPr>
        <w:adjustRightInd w:val="0"/>
        <w:snapToGrid w:val="0"/>
        <w:spacing w:line="360" w:lineRule="auto"/>
        <w:ind w:firstLine="420" w:firstLineChars="200"/>
        <w:rPr>
          <w:rFonts w:hint="eastAsia" w:ascii="宋体" w:hAnsi="宋体" w:cs="宋体"/>
        </w:rPr>
      </w:pPr>
      <w:r>
        <w:rPr>
          <w:rFonts w:hint="eastAsia" w:ascii="宋体" w:hAnsi="宋体" w:cs="宋体"/>
        </w:rPr>
        <w:t>1.8 计量单位</w:t>
      </w:r>
    </w:p>
    <w:p w14:paraId="5D4FB6EF">
      <w:pPr>
        <w:adjustRightInd w:val="0"/>
        <w:snapToGrid w:val="0"/>
        <w:spacing w:line="360" w:lineRule="auto"/>
        <w:ind w:firstLine="420" w:firstLineChars="200"/>
        <w:rPr>
          <w:rFonts w:hint="eastAsia" w:ascii="宋体" w:hAnsi="宋体" w:cs="宋体"/>
        </w:rPr>
      </w:pPr>
      <w:r>
        <w:rPr>
          <w:rFonts w:hint="eastAsia" w:ascii="宋体" w:hAnsi="宋体" w:cs="宋体"/>
        </w:rPr>
        <w:t>所有计量均采用中华人民共和国法定计量单位。</w:t>
      </w:r>
    </w:p>
    <w:p w14:paraId="5629E762">
      <w:pPr>
        <w:adjustRightInd w:val="0"/>
        <w:snapToGrid w:val="0"/>
        <w:spacing w:line="360" w:lineRule="auto"/>
        <w:ind w:firstLine="420" w:firstLineChars="200"/>
        <w:rPr>
          <w:rFonts w:hint="eastAsia" w:ascii="宋体" w:hAnsi="宋体" w:cs="宋体"/>
        </w:rPr>
      </w:pPr>
      <w:r>
        <w:rPr>
          <w:rFonts w:hint="eastAsia" w:ascii="宋体" w:hAnsi="宋体" w:cs="宋体"/>
        </w:rPr>
        <w:t>1.9 踏勘现场</w:t>
      </w:r>
    </w:p>
    <w:p w14:paraId="209E7E69">
      <w:pPr>
        <w:adjustRightInd w:val="0"/>
        <w:snapToGrid w:val="0"/>
        <w:spacing w:line="360" w:lineRule="auto"/>
        <w:ind w:firstLine="420" w:firstLineChars="200"/>
        <w:rPr>
          <w:rFonts w:hint="eastAsia" w:ascii="宋体" w:hAnsi="宋体" w:cs="宋体"/>
        </w:rPr>
      </w:pPr>
      <w:r>
        <w:rPr>
          <w:rFonts w:hint="eastAsia" w:ascii="宋体" w:hAnsi="宋体" w:cs="宋体"/>
        </w:rPr>
        <w:t>1.9.1供应商须知前附表规定组织踏勘现场的，采购人按供应商须知前附表规定的时间、地点组织供应商踏勘项目现场。</w:t>
      </w:r>
    </w:p>
    <w:p w14:paraId="7B643385">
      <w:pPr>
        <w:adjustRightInd w:val="0"/>
        <w:snapToGrid w:val="0"/>
        <w:spacing w:line="360" w:lineRule="auto"/>
        <w:ind w:firstLine="420" w:firstLineChars="200"/>
        <w:rPr>
          <w:rFonts w:hint="eastAsia" w:ascii="宋体" w:hAnsi="宋体" w:cs="宋体"/>
        </w:rPr>
      </w:pPr>
      <w:r>
        <w:rPr>
          <w:rFonts w:hint="eastAsia" w:ascii="宋体" w:hAnsi="宋体" w:cs="宋体"/>
        </w:rPr>
        <w:t>1.9.2供应商踏勘现场发生的费用自理。</w:t>
      </w:r>
    </w:p>
    <w:p w14:paraId="4E196A0E">
      <w:pPr>
        <w:adjustRightInd w:val="0"/>
        <w:snapToGrid w:val="0"/>
        <w:spacing w:line="360" w:lineRule="auto"/>
        <w:ind w:firstLine="420" w:firstLineChars="200"/>
        <w:rPr>
          <w:rFonts w:hint="eastAsia" w:ascii="宋体" w:hAnsi="宋体" w:cs="宋体"/>
        </w:rPr>
      </w:pPr>
      <w:r>
        <w:rPr>
          <w:rFonts w:hint="eastAsia" w:ascii="宋体" w:hAnsi="宋体" w:cs="宋体"/>
        </w:rPr>
        <w:t>1.9.3除采购人的原因外，供应商自行负责在踏勘现场中所发生的人员伤亡和财产损失。</w:t>
      </w:r>
    </w:p>
    <w:p w14:paraId="400674ED">
      <w:pPr>
        <w:adjustRightInd w:val="0"/>
        <w:snapToGrid w:val="0"/>
        <w:spacing w:line="360" w:lineRule="auto"/>
        <w:ind w:firstLine="420" w:firstLineChars="200"/>
        <w:rPr>
          <w:rFonts w:hint="eastAsia" w:ascii="宋体" w:hAnsi="宋体" w:cs="宋体"/>
        </w:rPr>
      </w:pPr>
      <w:r>
        <w:rPr>
          <w:rFonts w:hint="eastAsia" w:ascii="宋体" w:hAnsi="宋体" w:cs="宋体"/>
        </w:rPr>
        <w:t>1.9.4采购人在踏勘现场中介绍的场地和相关的周边环境情况，供供应商在编制响应文件时参考，采购人不对供应商据此作出的判断和决策负责。</w:t>
      </w:r>
    </w:p>
    <w:p w14:paraId="52C079C5">
      <w:pPr>
        <w:adjustRightInd w:val="0"/>
        <w:snapToGrid w:val="0"/>
        <w:spacing w:line="360" w:lineRule="auto"/>
        <w:ind w:firstLine="420" w:firstLineChars="200"/>
        <w:rPr>
          <w:rFonts w:hint="eastAsia" w:ascii="宋体" w:hAnsi="宋体" w:cs="宋体"/>
        </w:rPr>
      </w:pPr>
      <w:r>
        <w:rPr>
          <w:rFonts w:hint="eastAsia" w:ascii="宋体" w:hAnsi="宋体" w:cs="宋体"/>
        </w:rPr>
        <w:t>1.10 答疑会</w:t>
      </w:r>
    </w:p>
    <w:p w14:paraId="3D0C53F5">
      <w:pPr>
        <w:adjustRightInd w:val="0"/>
        <w:snapToGrid w:val="0"/>
        <w:spacing w:line="360" w:lineRule="auto"/>
        <w:ind w:firstLine="420" w:firstLineChars="200"/>
        <w:rPr>
          <w:rFonts w:hint="eastAsia" w:ascii="宋体" w:hAnsi="宋体" w:cs="宋体"/>
        </w:rPr>
      </w:pPr>
      <w:r>
        <w:rPr>
          <w:rFonts w:hint="eastAsia" w:ascii="宋体" w:hAnsi="宋体" w:cs="宋体"/>
        </w:rPr>
        <w:t>1.10.1供应商须知前附表规定不召开答疑会。</w:t>
      </w:r>
    </w:p>
    <w:p w14:paraId="1CFDAC3B">
      <w:pPr>
        <w:adjustRightInd w:val="0"/>
        <w:snapToGrid w:val="0"/>
        <w:spacing w:line="360" w:lineRule="auto"/>
        <w:ind w:firstLine="420" w:firstLineChars="200"/>
        <w:rPr>
          <w:rFonts w:hint="eastAsia" w:ascii="宋体" w:hAnsi="宋体" w:cs="宋体"/>
        </w:rPr>
      </w:pPr>
      <w:r>
        <w:rPr>
          <w:rFonts w:hint="eastAsia" w:ascii="宋体" w:hAnsi="宋体" w:cs="宋体"/>
        </w:rPr>
        <w:t>1.11.分包</w:t>
      </w:r>
    </w:p>
    <w:p w14:paraId="4AC51F30">
      <w:pPr>
        <w:adjustRightInd w:val="0"/>
        <w:snapToGrid w:val="0"/>
        <w:spacing w:line="360" w:lineRule="auto"/>
        <w:ind w:firstLine="420" w:firstLineChars="200"/>
        <w:rPr>
          <w:rFonts w:hint="eastAsia" w:ascii="宋体" w:hAnsi="宋体" w:cs="宋体"/>
        </w:rPr>
      </w:pPr>
      <w:r>
        <w:rPr>
          <w:rFonts w:hint="eastAsia" w:ascii="宋体" w:hAnsi="宋体" w:cs="宋体"/>
        </w:rPr>
        <w:t>供应商须知前附表规定不允许分包。</w:t>
      </w:r>
    </w:p>
    <w:p w14:paraId="074A406B">
      <w:pPr>
        <w:adjustRightInd w:val="0"/>
        <w:snapToGrid w:val="0"/>
        <w:spacing w:line="360" w:lineRule="auto"/>
        <w:ind w:firstLine="420" w:firstLineChars="200"/>
        <w:rPr>
          <w:rFonts w:hint="eastAsia" w:ascii="宋体" w:hAnsi="宋体" w:cs="宋体"/>
        </w:rPr>
      </w:pPr>
      <w:r>
        <w:rPr>
          <w:rFonts w:hint="eastAsia" w:ascii="宋体" w:hAnsi="宋体" w:cs="宋体"/>
        </w:rPr>
        <w:t>1.12 偏离</w:t>
      </w:r>
    </w:p>
    <w:p w14:paraId="46960364">
      <w:pPr>
        <w:adjustRightInd w:val="0"/>
        <w:snapToGrid w:val="0"/>
        <w:spacing w:line="360" w:lineRule="auto"/>
        <w:ind w:firstLine="420" w:firstLineChars="200"/>
        <w:rPr>
          <w:rFonts w:hint="eastAsia" w:ascii="宋体" w:hAnsi="宋体" w:cs="宋体"/>
        </w:rPr>
      </w:pPr>
      <w:r>
        <w:rPr>
          <w:rFonts w:hint="eastAsia" w:ascii="宋体" w:hAnsi="宋体" w:cs="宋体"/>
        </w:rPr>
        <w:t>响应文件应完全响应招标文件规定的实质性内容和条件。</w:t>
      </w:r>
    </w:p>
    <w:p w14:paraId="040CE7DA">
      <w:pPr>
        <w:adjustRightInd w:val="0"/>
        <w:snapToGrid w:val="0"/>
        <w:spacing w:line="360" w:lineRule="auto"/>
        <w:ind w:firstLine="420" w:firstLineChars="200"/>
        <w:rPr>
          <w:rFonts w:hint="eastAsia" w:ascii="宋体" w:hAnsi="宋体" w:cs="宋体"/>
        </w:rPr>
      </w:pPr>
      <w:r>
        <w:rPr>
          <w:rFonts w:hint="eastAsia" w:ascii="宋体" w:hAnsi="宋体" w:cs="宋体"/>
        </w:rPr>
        <w:t>1.13 其他</w:t>
      </w:r>
    </w:p>
    <w:p w14:paraId="7E274579">
      <w:pPr>
        <w:pStyle w:val="63"/>
        <w:spacing w:line="360" w:lineRule="auto"/>
        <w:ind w:firstLine="420"/>
        <w:rPr>
          <w:rFonts w:hint="eastAsia" w:ascii="宋体" w:hAnsi="宋体" w:cs="宋体"/>
          <w:b/>
          <w:u w:val="single"/>
        </w:rPr>
      </w:pPr>
      <w:r>
        <w:rPr>
          <w:rFonts w:hint="eastAsia" w:ascii="宋体" w:hAnsi="宋体" w:cs="宋体"/>
        </w:rPr>
        <w:t>1.13.1▲</w:t>
      </w:r>
      <w:r>
        <w:rPr>
          <w:rFonts w:hint="eastAsia" w:ascii="宋体" w:hAnsi="宋体" w:cs="宋体"/>
          <w:b/>
          <w:u w:val="single"/>
        </w:rPr>
        <w:t>供应商的</w:t>
      </w:r>
      <w:r>
        <w:rPr>
          <w:rFonts w:ascii="宋体" w:hAnsi="宋体" w:cs="宋体"/>
          <w:b/>
          <w:u w:val="single"/>
        </w:rPr>
        <w:t>法定代表人（单位负责人）</w:t>
      </w:r>
      <w:r>
        <w:rPr>
          <w:rFonts w:hint="eastAsia" w:ascii="宋体" w:hAnsi="宋体" w:cs="宋体"/>
          <w:b/>
          <w:u w:val="single"/>
        </w:rPr>
        <w:t>作为公开招标全权代表参加公开招标的，供应商须在响应文件中提供《法定代表人</w:t>
      </w:r>
      <w:r>
        <w:rPr>
          <w:rFonts w:ascii="宋体" w:hAnsi="宋体" w:cs="宋体"/>
          <w:b/>
          <w:u w:val="single"/>
        </w:rPr>
        <w:t>（单位负责人）</w:t>
      </w:r>
      <w:r>
        <w:rPr>
          <w:rFonts w:hint="eastAsia" w:ascii="宋体" w:hAnsi="宋体" w:cs="宋体"/>
          <w:b/>
          <w:u w:val="single"/>
        </w:rPr>
        <w:t>资格证明书》；法定代表人</w:t>
      </w:r>
      <w:r>
        <w:rPr>
          <w:rFonts w:ascii="宋体" w:hAnsi="宋体" w:cs="宋体"/>
          <w:b/>
          <w:u w:val="single"/>
        </w:rPr>
        <w:t>（单位负责人）</w:t>
      </w:r>
      <w:r>
        <w:rPr>
          <w:rFonts w:hint="eastAsia" w:ascii="宋体" w:hAnsi="宋体" w:cs="宋体"/>
          <w:b/>
          <w:u w:val="single"/>
        </w:rPr>
        <w:t>授权供应商在职职工作为公开招标全权代表参加公开招标的，供应商须在响应文件中提供附有《法定代表人（单位负责人）资格证明书》的《法定代表人（单位负责人）授权书》。</w:t>
      </w:r>
    </w:p>
    <w:p w14:paraId="43A12466">
      <w:pPr>
        <w:pStyle w:val="63"/>
        <w:spacing w:line="360" w:lineRule="auto"/>
        <w:ind w:firstLine="420"/>
        <w:rPr>
          <w:rFonts w:hint="eastAsia" w:ascii="宋体" w:hAnsi="宋体" w:cs="宋体"/>
          <w:bCs/>
        </w:rPr>
      </w:pPr>
      <w:r>
        <w:rPr>
          <w:rFonts w:hint="eastAsia" w:ascii="宋体" w:hAnsi="宋体" w:cs="宋体"/>
        </w:rPr>
        <w:t>1.13.2▲</w:t>
      </w:r>
      <w:r>
        <w:rPr>
          <w:rFonts w:hint="eastAsia" w:ascii="宋体" w:hAnsi="宋体" w:cs="宋体"/>
          <w:b/>
          <w:bCs/>
          <w:u w:val="single"/>
        </w:rPr>
        <w:t>供应商对所响应项目内的采购内容必须全部进行响应。</w:t>
      </w:r>
    </w:p>
    <w:p w14:paraId="17FE3732">
      <w:pPr>
        <w:pStyle w:val="63"/>
        <w:spacing w:line="360" w:lineRule="auto"/>
        <w:ind w:firstLine="420"/>
        <w:rPr>
          <w:rFonts w:hint="eastAsia" w:ascii="宋体" w:hAnsi="宋体" w:cs="宋体"/>
          <w:bCs/>
        </w:rPr>
      </w:pPr>
      <w:r>
        <w:rPr>
          <w:rFonts w:hint="eastAsia" w:ascii="宋体" w:hAnsi="宋体" w:cs="宋体"/>
        </w:rPr>
        <w:t>1.13.4</w:t>
      </w:r>
      <w:r>
        <w:rPr>
          <w:rFonts w:hint="eastAsia" w:ascii="宋体" w:hAnsi="宋体" w:cs="宋体"/>
          <w:bCs/>
        </w:rPr>
        <w:t>招标文件中所涉及的产品品牌或型号均为建议性要求或为档次选择要求或为代替部分技术指标描述，供应商可以选择其他品牌型号的产品参加公开招标但响应产品须具有相当于或优于招标文件要求的指标、性能、档次。否则，公开招标小组将对其作出不利的评审。</w:t>
      </w:r>
    </w:p>
    <w:p w14:paraId="0E984059">
      <w:pPr>
        <w:pStyle w:val="63"/>
        <w:spacing w:line="360" w:lineRule="auto"/>
        <w:ind w:firstLine="420"/>
        <w:rPr>
          <w:rFonts w:hint="eastAsia" w:ascii="宋体" w:hAnsi="宋体" w:cs="宋体"/>
          <w:bCs/>
        </w:rPr>
      </w:pPr>
      <w:r>
        <w:rPr>
          <w:rFonts w:hint="eastAsia" w:ascii="宋体" w:hAnsi="宋体" w:cs="宋体"/>
          <w:bCs/>
        </w:rPr>
        <w:t>1.13.5 招标文件中如有描述歧义或前后不一致的地方，公开招标小组有权按公平、合理的原则进行评判，但对同一条款的评判适用于每个供应商。</w:t>
      </w:r>
    </w:p>
    <w:p w14:paraId="01E95F3E">
      <w:pPr>
        <w:pStyle w:val="63"/>
        <w:spacing w:line="360" w:lineRule="auto"/>
        <w:ind w:firstLine="420"/>
        <w:rPr>
          <w:rFonts w:hint="eastAsia" w:ascii="宋体" w:hAnsi="宋体" w:cs="宋体"/>
        </w:rPr>
      </w:pPr>
      <w:r>
        <w:rPr>
          <w:rFonts w:hint="eastAsia" w:ascii="宋体" w:hAnsi="宋体" w:cs="宋体"/>
          <w:bCs/>
        </w:rPr>
        <w:t>1.13.6响应文件的响应内容必须真实、明确、准确。否则，公开招标小组将对其作出不利的评审。</w:t>
      </w:r>
    </w:p>
    <w:p w14:paraId="70F776E2">
      <w:pPr>
        <w:adjustRightInd w:val="0"/>
        <w:snapToGrid w:val="0"/>
        <w:spacing w:line="360" w:lineRule="auto"/>
        <w:ind w:firstLine="420" w:firstLineChars="200"/>
        <w:rPr>
          <w:rFonts w:hint="eastAsia" w:ascii="宋体" w:hAnsi="宋体" w:cs="宋体"/>
        </w:rPr>
      </w:pPr>
      <w:r>
        <w:rPr>
          <w:rFonts w:hint="eastAsia" w:ascii="宋体" w:hAnsi="宋体" w:cs="宋体"/>
        </w:rPr>
        <w:t>1.</w:t>
      </w:r>
      <w:r>
        <w:rPr>
          <w:rFonts w:hint="eastAsia" w:ascii="宋体" w:hAnsi="宋体" w:cs="宋体"/>
          <w:bCs/>
        </w:rPr>
        <w:t>13.7乙方</w:t>
      </w:r>
      <w:r>
        <w:rPr>
          <w:rFonts w:hint="eastAsia" w:ascii="宋体" w:hAnsi="宋体" w:cs="宋体"/>
        </w:rPr>
        <w:t>为履行合同引起的相关人员的差旅费、食宿费以及其它不可预知的费用由乙方自理。合同实施过程中，须与甲方积极配合。</w:t>
      </w:r>
    </w:p>
    <w:p w14:paraId="6098A022">
      <w:pPr>
        <w:adjustRightInd w:val="0"/>
        <w:snapToGrid w:val="0"/>
        <w:spacing w:line="360" w:lineRule="auto"/>
        <w:ind w:firstLine="420" w:firstLineChars="200"/>
        <w:rPr>
          <w:rFonts w:hint="eastAsia" w:ascii="宋体" w:hAnsi="宋体" w:cs="宋体"/>
        </w:rPr>
      </w:pPr>
      <w:r>
        <w:rPr>
          <w:rFonts w:hint="eastAsia" w:ascii="宋体" w:hAnsi="宋体" w:cs="宋体"/>
        </w:rPr>
        <w:t>1.12.8项目资金已落实。</w:t>
      </w:r>
    </w:p>
    <w:p w14:paraId="5A4415A3">
      <w:pPr>
        <w:adjustRightInd w:val="0"/>
        <w:snapToGrid w:val="0"/>
        <w:spacing w:line="360" w:lineRule="auto"/>
        <w:ind w:firstLine="420" w:firstLineChars="200"/>
        <w:rPr>
          <w:rFonts w:hint="eastAsia" w:ascii="宋体" w:hAnsi="宋体" w:cs="宋体"/>
        </w:rPr>
      </w:pPr>
      <w:r>
        <w:rPr>
          <w:rFonts w:hint="eastAsia" w:ascii="宋体" w:hAnsi="宋体" w:cs="宋体"/>
        </w:rPr>
        <w:t>1.12.9供应商须对所提供产品、方案、技术、服务等拥有合法的占有和处置权，并对涉及项目的所有内容可能侵权行为指控负责，保证不伤害采购人的利益。在法律范围内，如果出现文字、图片、商标和技术等侵权行为而造成的纠纷和产生的一切费用，采购人概不负责，由此给采购人造成损失的，供应商应承担相应后果，并负责赔偿。供应商为执行本项目合同而提供的技术资料等归采购人所有。</w:t>
      </w:r>
    </w:p>
    <w:p w14:paraId="00FEED87">
      <w:pPr>
        <w:adjustRightInd w:val="0"/>
        <w:snapToGrid w:val="0"/>
        <w:spacing w:line="360" w:lineRule="auto"/>
        <w:ind w:firstLine="422" w:firstLineChars="200"/>
        <w:rPr>
          <w:rFonts w:hint="eastAsia" w:ascii="宋体" w:hAnsi="宋体" w:cs="宋体"/>
          <w:b/>
          <w:kern w:val="0"/>
          <w:szCs w:val="21"/>
          <w:u w:val="single"/>
        </w:rPr>
      </w:pPr>
      <w:r>
        <w:rPr>
          <w:rFonts w:hint="eastAsia" w:ascii="宋体" w:hAnsi="宋体" w:cs="宋体"/>
          <w:b/>
          <w:kern w:val="0"/>
          <w:szCs w:val="21"/>
          <w:u w:val="single"/>
        </w:rPr>
        <w:t>1.12.10公开招标所使用的资格、信誉、荣誉、业绩、企业认证等证明材料必须为供应商自身所拥有，不同法人、其他组织资料与供应商无关，评审时不作为该供应商的依据。</w:t>
      </w:r>
    </w:p>
    <w:p w14:paraId="4EEB0951">
      <w:pPr>
        <w:pStyle w:val="4"/>
        <w:ind w:firstLine="422"/>
        <w:rPr>
          <w:rFonts w:hint="eastAsia" w:ascii="宋体" w:hAnsi="宋体" w:cs="宋体"/>
        </w:rPr>
      </w:pPr>
      <w:r>
        <w:rPr>
          <w:rFonts w:hint="eastAsia" w:ascii="宋体" w:hAnsi="宋体" w:cs="宋体"/>
        </w:rPr>
        <w:t>二、招标文件</w:t>
      </w:r>
    </w:p>
    <w:p w14:paraId="29D147E3">
      <w:pPr>
        <w:pStyle w:val="63"/>
        <w:spacing w:line="360" w:lineRule="auto"/>
        <w:ind w:firstLine="420"/>
        <w:rPr>
          <w:rFonts w:hint="eastAsia" w:ascii="宋体" w:hAnsi="宋体" w:cs="宋体"/>
        </w:rPr>
      </w:pPr>
      <w:r>
        <w:rPr>
          <w:rFonts w:hint="eastAsia" w:ascii="宋体" w:hAnsi="宋体" w:cs="宋体"/>
        </w:rPr>
        <w:t>2.1.招标文件的解释权</w:t>
      </w:r>
    </w:p>
    <w:p w14:paraId="5CBF9E23">
      <w:pPr>
        <w:pStyle w:val="63"/>
        <w:spacing w:line="360" w:lineRule="auto"/>
        <w:ind w:firstLine="420"/>
        <w:rPr>
          <w:rFonts w:hint="eastAsia" w:ascii="宋体" w:hAnsi="宋体" w:cs="宋体"/>
        </w:rPr>
      </w:pPr>
      <w:r>
        <w:rPr>
          <w:rFonts w:hint="eastAsia" w:ascii="宋体" w:hAnsi="宋体" w:cs="宋体"/>
        </w:rPr>
        <w:t>招标文件的解释权归采购人和采购代理机构所有。</w:t>
      </w:r>
    </w:p>
    <w:p w14:paraId="3E229A47">
      <w:pPr>
        <w:pStyle w:val="63"/>
        <w:spacing w:line="360" w:lineRule="auto"/>
        <w:ind w:firstLine="420"/>
        <w:rPr>
          <w:rFonts w:hint="eastAsia" w:ascii="宋体" w:hAnsi="宋体" w:cs="宋体"/>
        </w:rPr>
      </w:pPr>
      <w:r>
        <w:rPr>
          <w:rFonts w:hint="eastAsia" w:ascii="宋体" w:hAnsi="宋体" w:cs="宋体"/>
        </w:rPr>
        <w:t>2.2.招标文件的询疑</w:t>
      </w:r>
    </w:p>
    <w:p w14:paraId="50856F68">
      <w:pPr>
        <w:pStyle w:val="63"/>
        <w:spacing w:line="360" w:lineRule="auto"/>
        <w:ind w:firstLine="420"/>
        <w:rPr>
          <w:rFonts w:hint="eastAsia" w:ascii="宋体" w:hAnsi="宋体" w:cs="宋体"/>
        </w:rPr>
      </w:pPr>
      <w:r>
        <w:rPr>
          <w:rFonts w:hint="eastAsia" w:ascii="宋体" w:hAnsi="宋体" w:cs="宋体"/>
        </w:rPr>
        <w:t>2.3.供应商对招标文件内容存在疑问的，供应商可以提出书面询疑。</w:t>
      </w:r>
    </w:p>
    <w:p w14:paraId="2A0FCBEA">
      <w:pPr>
        <w:pStyle w:val="63"/>
        <w:spacing w:line="360" w:lineRule="auto"/>
        <w:ind w:firstLine="420"/>
        <w:rPr>
          <w:rFonts w:hint="eastAsia" w:ascii="宋体" w:hAnsi="宋体" w:cs="宋体"/>
        </w:rPr>
      </w:pPr>
      <w:r>
        <w:rPr>
          <w:rFonts w:hint="eastAsia" w:ascii="宋体" w:hAnsi="宋体" w:cs="宋体"/>
        </w:rPr>
        <w:t>2.3.1供应商提出询疑应当提交询疑函。询疑函应当包括下列内容：</w:t>
      </w:r>
    </w:p>
    <w:p w14:paraId="3B0E8F66">
      <w:pPr>
        <w:pStyle w:val="63"/>
        <w:spacing w:line="360" w:lineRule="auto"/>
        <w:ind w:firstLine="420"/>
        <w:rPr>
          <w:rFonts w:hint="eastAsia" w:ascii="宋体" w:hAnsi="宋体" w:cs="宋体"/>
        </w:rPr>
      </w:pPr>
      <w:r>
        <w:rPr>
          <w:rFonts w:hint="eastAsia" w:ascii="宋体" w:hAnsi="宋体" w:cs="宋体"/>
        </w:rPr>
        <w:t>（1）供应商的姓名或者名称、地址、邮编、联系人及联系电话；</w:t>
      </w:r>
    </w:p>
    <w:p w14:paraId="38A00928">
      <w:pPr>
        <w:pStyle w:val="63"/>
        <w:spacing w:line="360" w:lineRule="auto"/>
        <w:ind w:firstLine="420"/>
        <w:rPr>
          <w:rFonts w:hint="eastAsia" w:ascii="宋体" w:hAnsi="宋体" w:cs="宋体"/>
        </w:rPr>
      </w:pPr>
      <w:r>
        <w:rPr>
          <w:rFonts w:hint="eastAsia" w:ascii="宋体" w:hAnsi="宋体" w:cs="宋体"/>
        </w:rPr>
        <w:t>（2）询疑项目的名称、编号；</w:t>
      </w:r>
    </w:p>
    <w:p w14:paraId="6E8C19D9">
      <w:pPr>
        <w:pStyle w:val="63"/>
        <w:spacing w:line="360" w:lineRule="auto"/>
        <w:ind w:firstLine="420"/>
        <w:rPr>
          <w:rFonts w:hint="eastAsia" w:ascii="宋体" w:hAnsi="宋体" w:cs="宋体"/>
        </w:rPr>
      </w:pPr>
      <w:r>
        <w:rPr>
          <w:rFonts w:hint="eastAsia" w:ascii="宋体" w:hAnsi="宋体" w:cs="宋体"/>
        </w:rPr>
        <w:t>（3）具体、明确的询疑事项和与询疑事项相关的请求；</w:t>
      </w:r>
    </w:p>
    <w:p w14:paraId="0FC87D44">
      <w:pPr>
        <w:pStyle w:val="63"/>
        <w:spacing w:line="360" w:lineRule="auto"/>
        <w:ind w:firstLine="420"/>
        <w:rPr>
          <w:rFonts w:hint="eastAsia" w:ascii="宋体" w:hAnsi="宋体" w:cs="宋体"/>
        </w:rPr>
      </w:pPr>
      <w:r>
        <w:rPr>
          <w:rFonts w:hint="eastAsia" w:ascii="宋体" w:hAnsi="宋体" w:cs="宋体"/>
        </w:rPr>
        <w:t>（4）提出询疑的日期。</w:t>
      </w:r>
    </w:p>
    <w:p w14:paraId="197A4EAE">
      <w:pPr>
        <w:pStyle w:val="63"/>
        <w:spacing w:line="360" w:lineRule="auto"/>
        <w:ind w:firstLine="420"/>
        <w:rPr>
          <w:rFonts w:hint="eastAsia" w:ascii="宋体" w:hAnsi="宋体" w:cs="宋体"/>
        </w:rPr>
      </w:pPr>
      <w:r>
        <w:rPr>
          <w:rFonts w:hint="eastAsia" w:ascii="宋体" w:hAnsi="宋体" w:cs="宋体"/>
        </w:rPr>
        <w:t>供应商为自然人的，应当由本人签字；供应商为法人或者其他组织的，应当由法定代表人、主要负责人，或者其授权代表签字或者盖章，并加盖公章。</w:t>
      </w:r>
    </w:p>
    <w:p w14:paraId="04292CCD">
      <w:pPr>
        <w:pStyle w:val="63"/>
        <w:spacing w:line="360" w:lineRule="auto"/>
        <w:ind w:firstLine="420"/>
        <w:rPr>
          <w:rFonts w:hint="eastAsia" w:ascii="宋体" w:hAnsi="宋体" w:cs="宋体"/>
        </w:rPr>
      </w:pPr>
      <w:r>
        <w:rPr>
          <w:rFonts w:hint="eastAsia" w:ascii="宋体" w:hAnsi="宋体" w:cs="宋体"/>
        </w:rPr>
        <w:t>2.3.2供应商须在法定询疑期内一次性提出针对招标文件的询疑。</w:t>
      </w:r>
    </w:p>
    <w:p w14:paraId="3AA861CE">
      <w:pPr>
        <w:pStyle w:val="63"/>
        <w:spacing w:line="360" w:lineRule="auto"/>
        <w:ind w:firstLine="420"/>
        <w:rPr>
          <w:rFonts w:hint="eastAsia" w:ascii="宋体" w:hAnsi="宋体" w:cs="宋体"/>
        </w:rPr>
      </w:pPr>
      <w:r>
        <w:rPr>
          <w:rFonts w:hint="eastAsia" w:ascii="宋体" w:hAnsi="宋体" w:cs="宋体"/>
        </w:rPr>
        <w:t>2.3.3.询疑书中涉及的相关材料中有外文资料的，应当将与询疑相关的外文资料完整、客观、真实地翻译为中文，并注明翻译人员姓名、工作单位、联系方式等信息。</w:t>
      </w:r>
    </w:p>
    <w:p w14:paraId="68BCF18D">
      <w:pPr>
        <w:pStyle w:val="63"/>
        <w:spacing w:line="360" w:lineRule="auto"/>
        <w:ind w:firstLine="420"/>
        <w:rPr>
          <w:rFonts w:hint="eastAsia" w:ascii="宋体" w:hAnsi="宋体" w:cs="宋体"/>
        </w:rPr>
      </w:pPr>
      <w:r>
        <w:rPr>
          <w:rFonts w:hint="eastAsia" w:ascii="宋体" w:hAnsi="宋体" w:cs="宋体"/>
        </w:rPr>
        <w:t>2.3.4询疑书以直接提交、传真或邮寄方式提交（一式三份）。</w:t>
      </w:r>
    </w:p>
    <w:p w14:paraId="338BA6A2">
      <w:pPr>
        <w:pStyle w:val="63"/>
        <w:spacing w:line="360" w:lineRule="auto"/>
        <w:ind w:firstLine="420"/>
        <w:rPr>
          <w:rFonts w:hint="eastAsia" w:ascii="宋体" w:hAnsi="宋体" w:cs="宋体"/>
        </w:rPr>
      </w:pPr>
      <w:r>
        <w:rPr>
          <w:rFonts w:hint="eastAsia" w:ascii="宋体" w:hAnsi="宋体" w:cs="宋体"/>
        </w:rPr>
        <w:t>2.3.5询疑书以传真形式提交后，同时须向采购代理机构提交询疑书原件，实际收到原件之日作为收到询疑的日期。</w:t>
      </w:r>
    </w:p>
    <w:p w14:paraId="0F846AB9">
      <w:pPr>
        <w:pStyle w:val="63"/>
        <w:spacing w:line="360" w:lineRule="auto"/>
        <w:ind w:firstLine="420"/>
        <w:rPr>
          <w:rFonts w:hint="eastAsia" w:ascii="宋体" w:hAnsi="宋体" w:cs="宋体"/>
        </w:rPr>
      </w:pPr>
      <w:r>
        <w:rPr>
          <w:rFonts w:hint="eastAsia" w:ascii="宋体" w:hAnsi="宋体" w:cs="宋体"/>
        </w:rPr>
        <w:t>2.4.招标文件的澄清</w:t>
      </w:r>
    </w:p>
    <w:p w14:paraId="65FEF4D3">
      <w:pPr>
        <w:pStyle w:val="63"/>
        <w:spacing w:line="360" w:lineRule="auto"/>
        <w:ind w:firstLine="420"/>
        <w:rPr>
          <w:rFonts w:hint="eastAsia" w:ascii="宋体" w:hAnsi="宋体" w:cs="宋体"/>
        </w:rPr>
      </w:pPr>
      <w:r>
        <w:rPr>
          <w:rFonts w:hint="eastAsia" w:ascii="宋体" w:hAnsi="宋体" w:cs="宋体"/>
        </w:rPr>
        <w:t>2.4.1供应商对招标文件如有疑问要求澄清，或认为有必要与采购代理机构进行技术交流，供应商需将书面资料在“供应商须知前附表”规定询疑截止时间前传真或送达至采购代理机构，同时将电子文件发至供应商须知前附表注明的邮箱（电子邮件与书面文件有不一致的，以书面文件为准），并与采购代理机构进行确认。采购代理机构有权对询疑截止时间后的收到疑问将不予受理、答复。</w:t>
      </w:r>
    </w:p>
    <w:p w14:paraId="010336A5">
      <w:pPr>
        <w:pStyle w:val="63"/>
        <w:spacing w:line="360" w:lineRule="auto"/>
        <w:ind w:firstLine="420"/>
        <w:rPr>
          <w:rFonts w:hint="eastAsia" w:ascii="宋体" w:hAnsi="宋体" w:cs="宋体"/>
        </w:rPr>
      </w:pPr>
      <w:r>
        <w:rPr>
          <w:rFonts w:hint="eastAsia" w:ascii="宋体" w:hAnsi="宋体" w:cs="宋体"/>
        </w:rPr>
        <w:t>2.4.2 供应商要求澄清的资料应加盖单位公章、写明日期。</w:t>
      </w:r>
    </w:p>
    <w:p w14:paraId="7354124F">
      <w:pPr>
        <w:pStyle w:val="63"/>
        <w:spacing w:line="360" w:lineRule="auto"/>
        <w:ind w:firstLine="420"/>
        <w:rPr>
          <w:rFonts w:hint="eastAsia" w:ascii="宋体" w:hAnsi="宋体" w:cs="宋体"/>
        </w:rPr>
      </w:pPr>
      <w:r>
        <w:rPr>
          <w:rFonts w:hint="eastAsia" w:ascii="宋体" w:hAnsi="宋体" w:cs="宋体"/>
        </w:rPr>
        <w:t>2.4.3 如有必要，采购代理机构和采购人对供应商所有要求澄清的问题都予以解答，澄清答复的文件为补充文件，作为招标文件的组成部分，补充文件将以传真、邮件等形式告知所有购买招标文件的供应商，补充文件对供应商均有约束力。</w:t>
      </w:r>
    </w:p>
    <w:p w14:paraId="7B4F4DA5">
      <w:pPr>
        <w:pStyle w:val="63"/>
        <w:spacing w:line="360" w:lineRule="auto"/>
        <w:ind w:firstLine="420"/>
        <w:rPr>
          <w:rFonts w:hint="eastAsia" w:ascii="宋体" w:hAnsi="宋体" w:cs="宋体"/>
        </w:rPr>
      </w:pPr>
      <w:r>
        <w:rPr>
          <w:rFonts w:hint="eastAsia" w:ascii="宋体" w:hAnsi="宋体" w:cs="宋体"/>
        </w:rPr>
        <w:t>2.4.4补充文件发出后，采购人原则上不改变招标文件规定的响应文件递交截止时间及开启时间。供应商如认为补充文件内容影响响应文件编制，须延长响应文件递交截止时间的，必须在收到补充文件后24小时内将意见和理由以书面形式向采购代理机构提出，否则，采购代理机构视供应商完全接受并有足够的时间编制响应文件且按规定时间进行公开招标。</w:t>
      </w:r>
    </w:p>
    <w:p w14:paraId="2C629C5E">
      <w:pPr>
        <w:pStyle w:val="63"/>
        <w:spacing w:line="360" w:lineRule="auto"/>
        <w:ind w:firstLine="420"/>
        <w:rPr>
          <w:rFonts w:hint="eastAsia" w:ascii="宋体" w:hAnsi="宋体" w:cs="宋体"/>
        </w:rPr>
      </w:pPr>
      <w:r>
        <w:rPr>
          <w:rFonts w:hint="eastAsia" w:ascii="宋体" w:hAnsi="宋体" w:cs="宋体"/>
        </w:rPr>
        <w:t>2.4.5供应商在收到补充文件后，应在24小时内以书面形式向采购代理机构确认已收到该补充文件。</w:t>
      </w:r>
    </w:p>
    <w:p w14:paraId="5E158B80">
      <w:pPr>
        <w:pStyle w:val="63"/>
        <w:spacing w:line="360" w:lineRule="auto"/>
        <w:ind w:firstLine="420"/>
        <w:rPr>
          <w:rFonts w:hint="eastAsia" w:ascii="宋体" w:hAnsi="宋体" w:cs="宋体"/>
        </w:rPr>
      </w:pPr>
      <w:r>
        <w:rPr>
          <w:rFonts w:hint="eastAsia" w:ascii="宋体" w:hAnsi="宋体" w:cs="宋体"/>
        </w:rPr>
        <w:t>2.4.6供应商在招标文件规定的询疑截止时间前内未对招标文件提出疑问的，采购代理机构将视其为无异议。</w:t>
      </w:r>
    </w:p>
    <w:p w14:paraId="7B95A708">
      <w:pPr>
        <w:pStyle w:val="63"/>
        <w:spacing w:line="360" w:lineRule="auto"/>
        <w:ind w:firstLine="420"/>
        <w:rPr>
          <w:rFonts w:hint="eastAsia" w:ascii="宋体" w:hAnsi="宋体" w:cs="宋体"/>
        </w:rPr>
      </w:pPr>
      <w:r>
        <w:rPr>
          <w:rFonts w:hint="eastAsia" w:ascii="宋体" w:hAnsi="宋体" w:cs="宋体"/>
        </w:rPr>
        <w:t>2.4.7当招标文件与补充文件就同一内容的表述不一致时，以最后发出的书面文件为准。</w:t>
      </w:r>
    </w:p>
    <w:p w14:paraId="3735CF93">
      <w:pPr>
        <w:pStyle w:val="63"/>
        <w:spacing w:line="360" w:lineRule="auto"/>
        <w:ind w:firstLine="420"/>
        <w:rPr>
          <w:rFonts w:hint="eastAsia" w:ascii="宋体" w:hAnsi="宋体" w:cs="宋体"/>
        </w:rPr>
      </w:pPr>
      <w:r>
        <w:rPr>
          <w:rFonts w:hint="eastAsia" w:ascii="宋体" w:hAnsi="宋体" w:cs="宋体"/>
        </w:rPr>
        <w:t>2.5.招标文件的修改</w:t>
      </w:r>
    </w:p>
    <w:p w14:paraId="26690302">
      <w:pPr>
        <w:pStyle w:val="63"/>
        <w:spacing w:line="360" w:lineRule="auto"/>
        <w:ind w:firstLine="420"/>
        <w:rPr>
          <w:rFonts w:hint="eastAsia" w:ascii="宋体" w:hAnsi="宋体" w:cs="宋体"/>
        </w:rPr>
      </w:pPr>
      <w:r>
        <w:rPr>
          <w:rFonts w:hint="eastAsia" w:ascii="宋体" w:hAnsi="宋体" w:cs="宋体"/>
        </w:rPr>
        <w:t>2.5.1 在响应文件提交的截止时间前，由于各种原因采购人可能以补充文件的形式修改完善招标文件。</w:t>
      </w:r>
    </w:p>
    <w:p w14:paraId="25A53DF1">
      <w:pPr>
        <w:pStyle w:val="63"/>
        <w:spacing w:line="360" w:lineRule="auto"/>
        <w:ind w:firstLine="420"/>
        <w:rPr>
          <w:rFonts w:hint="eastAsia" w:ascii="宋体" w:hAnsi="宋体" w:cs="宋体"/>
        </w:rPr>
      </w:pPr>
      <w:r>
        <w:rPr>
          <w:rFonts w:hint="eastAsia" w:ascii="宋体" w:hAnsi="宋体" w:cs="宋体"/>
        </w:rPr>
        <w:t>2.5.2补充文件作为招标文件组成部分，补充文件将以传真、邮件等形式告知所有购买招标文件的供应商，补充文件对供应商均有约束力。</w:t>
      </w:r>
    </w:p>
    <w:p w14:paraId="4F4614B3">
      <w:pPr>
        <w:pStyle w:val="63"/>
        <w:spacing w:line="360" w:lineRule="auto"/>
        <w:ind w:firstLine="420"/>
        <w:rPr>
          <w:rFonts w:hint="eastAsia" w:ascii="宋体" w:hAnsi="宋体" w:cs="宋体"/>
        </w:rPr>
      </w:pPr>
      <w:r>
        <w:rPr>
          <w:rFonts w:hint="eastAsia" w:ascii="宋体" w:hAnsi="宋体" w:cs="宋体"/>
        </w:rPr>
        <w:t>2.5.3补充文件发出后，采购人原则上不改变本文件规定的响应文件递交截止时间及开启时间。供应商如认为补充文件内容影响响应文件编制，须延长响应文件递交截止时间的，必须在收到补充文件后24小时内将意见和理由以书面形式向采购代理机构提出，否则，采购代理机构视供应商完全接受并有足够的时间编制响应文件且按规定时间进行公开招标。</w:t>
      </w:r>
    </w:p>
    <w:p w14:paraId="4E95022D">
      <w:pPr>
        <w:pStyle w:val="63"/>
        <w:spacing w:line="360" w:lineRule="auto"/>
        <w:ind w:firstLine="420"/>
        <w:rPr>
          <w:rFonts w:hint="eastAsia" w:ascii="宋体" w:hAnsi="宋体" w:cs="宋体"/>
        </w:rPr>
      </w:pPr>
      <w:r>
        <w:rPr>
          <w:rFonts w:hint="eastAsia" w:ascii="宋体" w:hAnsi="宋体" w:cs="宋体"/>
        </w:rPr>
        <w:t>2.5.4供应商在收到补充文件后，应在24小时内以书面形式向采购代理机构确认已收到该补充文件。</w:t>
      </w:r>
    </w:p>
    <w:p w14:paraId="45814872">
      <w:pPr>
        <w:pStyle w:val="63"/>
        <w:spacing w:line="360" w:lineRule="auto"/>
        <w:ind w:firstLine="420"/>
        <w:rPr>
          <w:rFonts w:hint="eastAsia" w:ascii="宋体" w:hAnsi="宋体" w:cs="宋体"/>
        </w:rPr>
      </w:pPr>
      <w:r>
        <w:rPr>
          <w:rFonts w:hint="eastAsia" w:ascii="宋体" w:hAnsi="宋体" w:cs="宋体"/>
        </w:rPr>
        <w:t>2.5.5供应商收到补充文件后，对补充文件如有疑问要求澄清，应在24小时内将书面资料传真或送达至采购代理机构，同时将电子文件发至供应商须知前附表注明的邮箱（电子邮件与书面文件有不一致的，以书面文件为准），并与采购代理机构进行确认。</w:t>
      </w:r>
    </w:p>
    <w:p w14:paraId="0BC51DED">
      <w:pPr>
        <w:pStyle w:val="63"/>
        <w:spacing w:line="360" w:lineRule="auto"/>
        <w:ind w:firstLine="420"/>
        <w:rPr>
          <w:rFonts w:hint="eastAsia" w:ascii="宋体" w:hAnsi="宋体" w:cs="宋体"/>
        </w:rPr>
      </w:pPr>
      <w:r>
        <w:rPr>
          <w:rFonts w:hint="eastAsia" w:ascii="宋体" w:hAnsi="宋体" w:cs="宋体"/>
        </w:rPr>
        <w:t>2.5.6供应商要求澄清的资料应加盖单位公章、写明日期。</w:t>
      </w:r>
    </w:p>
    <w:p w14:paraId="2419BEC7">
      <w:pPr>
        <w:pStyle w:val="63"/>
        <w:spacing w:line="360" w:lineRule="auto"/>
        <w:ind w:firstLine="420"/>
        <w:rPr>
          <w:rFonts w:hint="eastAsia" w:ascii="宋体" w:hAnsi="宋体" w:cs="宋体"/>
        </w:rPr>
      </w:pPr>
      <w:r>
        <w:rPr>
          <w:rFonts w:hint="eastAsia" w:ascii="宋体" w:hAnsi="宋体" w:cs="宋体"/>
        </w:rPr>
        <w:t>2.5.7对补充文件的澄清答复按2.4款规定。</w:t>
      </w:r>
    </w:p>
    <w:p w14:paraId="0AB89C2E">
      <w:pPr>
        <w:pStyle w:val="63"/>
        <w:spacing w:line="360" w:lineRule="auto"/>
        <w:ind w:firstLine="420"/>
        <w:rPr>
          <w:rFonts w:hint="eastAsia" w:ascii="宋体" w:hAnsi="宋体" w:cs="宋体"/>
        </w:rPr>
      </w:pPr>
      <w:r>
        <w:rPr>
          <w:rFonts w:hint="eastAsia" w:ascii="宋体" w:hAnsi="宋体" w:cs="宋体"/>
        </w:rPr>
        <w:t>2.5.8当招标文件与补充文件就同一内容的表述不一致时，以最后发出的书面文件为准。</w:t>
      </w:r>
    </w:p>
    <w:p w14:paraId="674C59EA">
      <w:pPr>
        <w:pStyle w:val="63"/>
        <w:spacing w:line="360" w:lineRule="auto"/>
        <w:ind w:firstLine="420"/>
        <w:rPr>
          <w:rFonts w:hint="eastAsia" w:ascii="宋体" w:hAnsi="宋体" w:cs="宋体"/>
        </w:rPr>
      </w:pPr>
      <w:r>
        <w:rPr>
          <w:rFonts w:hint="eastAsia" w:ascii="宋体" w:hAnsi="宋体" w:cs="宋体"/>
        </w:rPr>
        <w:t>2.5.9任何口头答复均不属于招标文件的组成部分。</w:t>
      </w:r>
    </w:p>
    <w:p w14:paraId="7722519A">
      <w:pPr>
        <w:pStyle w:val="4"/>
        <w:ind w:firstLine="422"/>
        <w:rPr>
          <w:rFonts w:hint="eastAsia" w:ascii="宋体" w:hAnsi="宋体" w:cs="宋体"/>
        </w:rPr>
      </w:pPr>
      <w:r>
        <w:rPr>
          <w:rFonts w:hint="eastAsia" w:ascii="宋体" w:hAnsi="宋体" w:cs="宋体"/>
        </w:rPr>
        <w:t>三、响应文件</w:t>
      </w:r>
    </w:p>
    <w:p w14:paraId="7AA17ADA">
      <w:pPr>
        <w:pStyle w:val="63"/>
        <w:spacing w:line="360" w:lineRule="auto"/>
        <w:ind w:firstLine="420"/>
        <w:rPr>
          <w:rFonts w:hint="eastAsia" w:ascii="宋体" w:hAnsi="宋体" w:cs="宋体"/>
        </w:rPr>
      </w:pPr>
      <w:r>
        <w:rPr>
          <w:rFonts w:hint="eastAsia" w:ascii="宋体" w:hAnsi="宋体" w:cs="宋体"/>
        </w:rPr>
        <w:t>3.1 响应文件</w:t>
      </w:r>
    </w:p>
    <w:p w14:paraId="1FF2EB6B">
      <w:pPr>
        <w:pStyle w:val="63"/>
        <w:spacing w:line="360" w:lineRule="auto"/>
        <w:ind w:firstLine="420"/>
        <w:rPr>
          <w:rFonts w:hint="eastAsia" w:ascii="宋体" w:hAnsi="宋体" w:cs="宋体"/>
        </w:rPr>
      </w:pPr>
      <w:r>
        <w:rPr>
          <w:rFonts w:hint="eastAsia" w:ascii="宋体" w:hAnsi="宋体" w:cs="宋体"/>
        </w:rPr>
        <w:t>3.1.1 供应商应仔细阅读招标文件规定的所有内容，以保证能全面准确理解招标文件，并按照招标文件要求，详细编制响应文件，响应文件内容必须针对本次公开招标响应。</w:t>
      </w:r>
    </w:p>
    <w:p w14:paraId="453E22D7">
      <w:pPr>
        <w:pStyle w:val="63"/>
        <w:spacing w:line="360" w:lineRule="auto"/>
        <w:ind w:firstLine="420"/>
        <w:rPr>
          <w:rFonts w:hint="eastAsia" w:ascii="宋体" w:hAnsi="宋体" w:cs="宋体"/>
          <w:bCs/>
        </w:rPr>
      </w:pPr>
      <w:r>
        <w:rPr>
          <w:rFonts w:hint="eastAsia" w:ascii="宋体" w:hAnsi="宋体" w:cs="宋体"/>
        </w:rPr>
        <w:t>3.1.2供应商必须按招标文件的要求提供相关资料，并对招标文件中提出的所有内容要求给予实质性响应，须保证响应文件的准确、真实、明确</w:t>
      </w:r>
      <w:r>
        <w:rPr>
          <w:rFonts w:hint="eastAsia" w:ascii="宋体" w:hAnsi="宋体" w:cs="宋体"/>
          <w:bCs/>
        </w:rPr>
        <w:t>。响应文件响应内容对招标文件要求如有偏离均应填写偏离表，如不填写，采购人有权视作响应文件完全响应招标文件要求。</w:t>
      </w:r>
    </w:p>
    <w:p w14:paraId="7BCB6A11">
      <w:pPr>
        <w:pStyle w:val="63"/>
        <w:spacing w:line="360" w:lineRule="auto"/>
        <w:ind w:firstLine="422"/>
        <w:rPr>
          <w:rFonts w:hint="eastAsia" w:ascii="宋体" w:hAnsi="宋体" w:cs="宋体"/>
          <w:b/>
        </w:rPr>
      </w:pPr>
      <w:r>
        <w:rPr>
          <w:rFonts w:hint="eastAsia" w:ascii="宋体" w:hAnsi="宋体" w:cs="宋体"/>
          <w:b/>
        </w:rPr>
        <w:t>3.2 响应文件组成</w:t>
      </w:r>
    </w:p>
    <w:p w14:paraId="45B117D2">
      <w:pPr>
        <w:pStyle w:val="63"/>
        <w:spacing w:line="360" w:lineRule="auto"/>
        <w:ind w:firstLine="420"/>
        <w:rPr>
          <w:rFonts w:hint="eastAsia" w:ascii="宋体" w:hAnsi="宋体" w:cs="宋体"/>
        </w:rPr>
      </w:pPr>
      <w:r>
        <w:rPr>
          <w:rFonts w:hint="eastAsia" w:ascii="宋体" w:hAnsi="宋体" w:cs="宋体"/>
        </w:rPr>
        <w:t>3.2.1响应文件报价部分</w:t>
      </w:r>
    </w:p>
    <w:p w14:paraId="35EBA0B1">
      <w:pPr>
        <w:tabs>
          <w:tab w:val="left" w:pos="418"/>
        </w:tabs>
        <w:snapToGrid w:val="0"/>
        <w:spacing w:line="360" w:lineRule="auto"/>
        <w:ind w:firstLine="420" w:firstLineChars="200"/>
        <w:rPr>
          <w:rFonts w:hint="eastAsia" w:ascii="宋体" w:hAnsi="宋体" w:cs="宋体"/>
          <w:snapToGrid w:val="0"/>
          <w:kern w:val="0"/>
        </w:rPr>
      </w:pPr>
      <w:r>
        <w:rPr>
          <w:rFonts w:hint="eastAsia" w:ascii="宋体" w:hAnsi="宋体" w:cs="宋体"/>
        </w:rPr>
        <w:t>（</w:t>
      </w:r>
      <w:r>
        <w:rPr>
          <w:rFonts w:hint="eastAsia" w:ascii="宋体" w:hAnsi="宋体" w:cs="宋体"/>
          <w:snapToGrid w:val="0"/>
          <w:kern w:val="0"/>
        </w:rPr>
        <w:t>1）响应函；</w:t>
      </w:r>
    </w:p>
    <w:p w14:paraId="2B807221">
      <w:pPr>
        <w:tabs>
          <w:tab w:val="left" w:pos="418"/>
        </w:tabs>
        <w:snapToGrid w:val="0"/>
        <w:spacing w:line="360" w:lineRule="auto"/>
        <w:ind w:firstLine="420" w:firstLineChars="200"/>
        <w:rPr>
          <w:rFonts w:hint="eastAsia" w:ascii="宋体" w:hAnsi="宋体" w:cs="宋体"/>
          <w:snapToGrid w:val="0"/>
          <w:kern w:val="0"/>
        </w:rPr>
      </w:pPr>
      <w:r>
        <w:rPr>
          <w:rFonts w:hint="eastAsia" w:ascii="宋体" w:hAnsi="宋体" w:cs="宋体"/>
          <w:snapToGrid w:val="0"/>
          <w:kern w:val="0"/>
        </w:rPr>
        <w:t>（2）报价一览表；</w:t>
      </w:r>
    </w:p>
    <w:p w14:paraId="79A72EEE">
      <w:pPr>
        <w:tabs>
          <w:tab w:val="left" w:pos="418"/>
        </w:tabs>
        <w:snapToGrid w:val="0"/>
        <w:spacing w:line="360" w:lineRule="auto"/>
        <w:ind w:left="454"/>
        <w:rPr>
          <w:rFonts w:hint="eastAsia" w:ascii="宋体" w:hAnsi="宋体" w:cs="宋体"/>
          <w:snapToGrid w:val="0"/>
          <w:kern w:val="0"/>
        </w:rPr>
      </w:pPr>
      <w:r>
        <w:rPr>
          <w:rFonts w:hint="eastAsia" w:ascii="宋体" w:hAnsi="宋体" w:cs="宋体"/>
        </w:rPr>
        <w:t>3.2.2</w:t>
      </w:r>
      <w:r>
        <w:rPr>
          <w:rFonts w:hint="eastAsia" w:ascii="宋体" w:hAnsi="宋体" w:cs="宋体"/>
          <w:snapToGrid w:val="0"/>
          <w:kern w:val="0"/>
        </w:rPr>
        <w:t>响应文件商务技术部分</w:t>
      </w:r>
    </w:p>
    <w:p w14:paraId="1DC06396">
      <w:pPr>
        <w:numPr>
          <w:ilvl w:val="0"/>
          <w:numId w:val="3"/>
        </w:numPr>
        <w:tabs>
          <w:tab w:val="left" w:pos="418"/>
        </w:tabs>
        <w:snapToGrid w:val="0"/>
        <w:spacing w:line="360" w:lineRule="auto"/>
        <w:rPr>
          <w:rFonts w:hint="eastAsia" w:ascii="宋体" w:hAnsi="宋体" w:cs="宋体"/>
          <w:snapToGrid w:val="0"/>
          <w:kern w:val="0"/>
        </w:rPr>
      </w:pPr>
      <w:r>
        <w:rPr>
          <w:rFonts w:hint="eastAsia" w:ascii="宋体" w:hAnsi="宋体" w:cs="宋体"/>
          <w:snapToGrid w:val="0"/>
          <w:kern w:val="0"/>
        </w:rPr>
        <w:t>法定代表人（单位负责人）资格证明书或附有法定代表人（单位负责人）资格证明书的法定代表人（单位负责人）授权委托书；</w:t>
      </w:r>
    </w:p>
    <w:p w14:paraId="78B94688">
      <w:pPr>
        <w:numPr>
          <w:ilvl w:val="0"/>
          <w:numId w:val="3"/>
        </w:numPr>
        <w:tabs>
          <w:tab w:val="left" w:pos="418"/>
        </w:tabs>
        <w:snapToGrid w:val="0"/>
        <w:spacing w:line="360" w:lineRule="auto"/>
        <w:rPr>
          <w:rFonts w:hint="eastAsia" w:ascii="宋体" w:hAnsi="宋体" w:cs="宋体"/>
          <w:snapToGrid w:val="0"/>
          <w:kern w:val="0"/>
        </w:rPr>
      </w:pPr>
      <w:r>
        <w:rPr>
          <w:rFonts w:hint="eastAsia" w:ascii="宋体" w:hAnsi="宋体" w:cs="宋体"/>
          <w:snapToGrid w:val="0"/>
          <w:kern w:val="0"/>
        </w:rPr>
        <w:t>廉洁承诺书；</w:t>
      </w:r>
    </w:p>
    <w:p w14:paraId="76D3D5D3">
      <w:pPr>
        <w:numPr>
          <w:ilvl w:val="0"/>
          <w:numId w:val="3"/>
        </w:numPr>
        <w:tabs>
          <w:tab w:val="left" w:pos="418"/>
        </w:tabs>
        <w:snapToGrid w:val="0"/>
        <w:spacing w:line="360" w:lineRule="auto"/>
        <w:ind w:left="845" w:hanging="391"/>
        <w:rPr>
          <w:rFonts w:hint="eastAsia" w:ascii="宋体" w:hAnsi="宋体" w:cs="宋体"/>
          <w:snapToGrid w:val="0"/>
          <w:kern w:val="0"/>
        </w:rPr>
      </w:pPr>
      <w:r>
        <w:rPr>
          <w:rFonts w:hint="eastAsia" w:ascii="宋体" w:hAnsi="宋体" w:cs="宋体"/>
          <w:snapToGrid w:val="0"/>
          <w:kern w:val="0"/>
        </w:rPr>
        <w:t>资格审查资料；</w:t>
      </w:r>
    </w:p>
    <w:p w14:paraId="37BEFAC3">
      <w:pPr>
        <w:numPr>
          <w:ilvl w:val="0"/>
          <w:numId w:val="3"/>
        </w:numPr>
        <w:tabs>
          <w:tab w:val="left" w:pos="418"/>
        </w:tabs>
        <w:snapToGrid w:val="0"/>
        <w:spacing w:line="360" w:lineRule="auto"/>
        <w:ind w:left="845" w:hanging="391"/>
        <w:rPr>
          <w:rFonts w:hint="eastAsia" w:ascii="宋体" w:hAnsi="宋体" w:cs="宋体"/>
        </w:rPr>
      </w:pPr>
      <w:r>
        <w:rPr>
          <w:rFonts w:hint="eastAsia" w:ascii="宋体" w:hAnsi="宋体" w:cs="宋体"/>
        </w:rPr>
        <w:t>偏离表；</w:t>
      </w:r>
    </w:p>
    <w:p w14:paraId="34A6CF1A">
      <w:pPr>
        <w:numPr>
          <w:ilvl w:val="0"/>
          <w:numId w:val="3"/>
        </w:numPr>
        <w:tabs>
          <w:tab w:val="left" w:pos="418"/>
        </w:tabs>
        <w:snapToGrid w:val="0"/>
        <w:spacing w:line="360" w:lineRule="auto"/>
        <w:ind w:left="845" w:hanging="391"/>
        <w:rPr>
          <w:rFonts w:hint="eastAsia" w:ascii="宋体" w:hAnsi="宋体" w:cs="宋体"/>
          <w:snapToGrid w:val="0"/>
          <w:kern w:val="0"/>
        </w:rPr>
      </w:pPr>
      <w:r>
        <w:rPr>
          <w:rFonts w:hint="eastAsia" w:ascii="宋体" w:hAnsi="宋体" w:cs="宋体"/>
          <w:snapToGrid w:val="0"/>
          <w:kern w:val="0"/>
        </w:rPr>
        <w:t>供应商声明函；</w:t>
      </w:r>
    </w:p>
    <w:p w14:paraId="7E63DE20">
      <w:pPr>
        <w:numPr>
          <w:ilvl w:val="0"/>
          <w:numId w:val="3"/>
        </w:numPr>
        <w:tabs>
          <w:tab w:val="left" w:pos="418"/>
        </w:tabs>
        <w:snapToGrid w:val="0"/>
        <w:spacing w:line="360" w:lineRule="auto"/>
        <w:ind w:left="845" w:hanging="391"/>
        <w:rPr>
          <w:rFonts w:hint="eastAsia" w:ascii="宋体" w:hAnsi="宋体" w:cs="宋体"/>
          <w:snapToGrid w:val="0"/>
          <w:kern w:val="0"/>
        </w:rPr>
      </w:pPr>
      <w:r>
        <w:rPr>
          <w:rFonts w:hint="eastAsia" w:ascii="宋体" w:hAnsi="宋体" w:cs="宋体"/>
        </w:rPr>
        <w:t>类似项目业绩表</w:t>
      </w:r>
      <w:r>
        <w:rPr>
          <w:rFonts w:hint="eastAsia" w:ascii="宋体" w:hAnsi="宋体" w:cs="宋体"/>
          <w:snapToGrid w:val="0"/>
          <w:kern w:val="0"/>
        </w:rPr>
        <w:t>；</w:t>
      </w:r>
    </w:p>
    <w:p w14:paraId="584D6EFB">
      <w:pPr>
        <w:numPr>
          <w:ilvl w:val="0"/>
          <w:numId w:val="3"/>
        </w:numPr>
        <w:tabs>
          <w:tab w:val="left" w:pos="418"/>
        </w:tabs>
        <w:snapToGrid w:val="0"/>
        <w:spacing w:line="360" w:lineRule="auto"/>
        <w:ind w:left="845" w:hanging="391"/>
        <w:rPr>
          <w:rFonts w:hint="eastAsia" w:ascii="宋体" w:hAnsi="宋体" w:cs="宋体"/>
          <w:szCs w:val="21"/>
        </w:rPr>
      </w:pPr>
      <w:r>
        <w:rPr>
          <w:rFonts w:hint="eastAsia" w:ascii="宋体" w:hAnsi="宋体" w:cs="宋体"/>
          <w:szCs w:val="21"/>
        </w:rPr>
        <w:t>项目团队成员简历表；</w:t>
      </w:r>
    </w:p>
    <w:p w14:paraId="2DA768AE">
      <w:pPr>
        <w:numPr>
          <w:ilvl w:val="0"/>
          <w:numId w:val="3"/>
        </w:numPr>
        <w:tabs>
          <w:tab w:val="left" w:pos="418"/>
        </w:tabs>
        <w:snapToGrid w:val="0"/>
        <w:spacing w:line="360" w:lineRule="auto"/>
        <w:ind w:left="845" w:hanging="391"/>
        <w:rPr>
          <w:rFonts w:hint="eastAsia" w:ascii="宋体" w:hAnsi="宋体" w:cs="宋体"/>
        </w:rPr>
      </w:pPr>
      <w:r>
        <w:rPr>
          <w:rFonts w:hint="eastAsia" w:ascii="宋体" w:hAnsi="宋体" w:cs="宋体"/>
          <w:szCs w:val="21"/>
        </w:rPr>
        <w:t>岗位员工配置计划表；</w:t>
      </w:r>
    </w:p>
    <w:p w14:paraId="0A67985B">
      <w:pPr>
        <w:numPr>
          <w:ilvl w:val="0"/>
          <w:numId w:val="3"/>
        </w:numPr>
        <w:tabs>
          <w:tab w:val="left" w:pos="418"/>
        </w:tabs>
        <w:snapToGrid w:val="0"/>
        <w:spacing w:line="360" w:lineRule="auto"/>
        <w:ind w:left="845" w:hanging="391"/>
        <w:rPr>
          <w:rFonts w:hint="eastAsia" w:ascii="宋体" w:hAnsi="宋体" w:cs="宋体"/>
        </w:rPr>
      </w:pPr>
      <w:r>
        <w:rPr>
          <w:rFonts w:hint="eastAsia" w:ascii="宋体" w:hAnsi="宋体" w:cs="宋体"/>
        </w:rPr>
        <w:t>技术部分组成（根据评分标准对应提供）；</w:t>
      </w:r>
    </w:p>
    <w:p w14:paraId="434C96ED">
      <w:pPr>
        <w:pStyle w:val="63"/>
        <w:numPr>
          <w:ilvl w:val="0"/>
          <w:numId w:val="3"/>
        </w:numPr>
        <w:spacing w:line="360" w:lineRule="auto"/>
        <w:ind w:firstLineChars="0"/>
        <w:rPr>
          <w:rFonts w:hint="eastAsia" w:ascii="宋体" w:hAnsi="宋体" w:cs="宋体"/>
        </w:rPr>
      </w:pPr>
      <w:r>
        <w:rPr>
          <w:rFonts w:hint="eastAsia" w:ascii="宋体" w:hAnsi="宋体" w:cs="宋体"/>
        </w:rPr>
        <w:t>供应商认为需要提供的其他资料。</w:t>
      </w:r>
    </w:p>
    <w:p w14:paraId="6C46E0F4">
      <w:pPr>
        <w:pStyle w:val="63"/>
        <w:spacing w:line="360" w:lineRule="auto"/>
        <w:ind w:firstLine="420"/>
        <w:rPr>
          <w:rFonts w:hint="eastAsia" w:ascii="宋体" w:hAnsi="宋体" w:cs="宋体"/>
        </w:rPr>
      </w:pPr>
      <w:r>
        <w:rPr>
          <w:rFonts w:hint="eastAsia" w:ascii="宋体" w:hAnsi="宋体" w:cs="宋体"/>
        </w:rPr>
        <w:t>3.3 响应文件的编制</w:t>
      </w:r>
    </w:p>
    <w:p w14:paraId="7630EF31">
      <w:pPr>
        <w:pStyle w:val="63"/>
        <w:spacing w:line="360" w:lineRule="auto"/>
        <w:ind w:firstLine="420"/>
        <w:rPr>
          <w:rFonts w:hint="eastAsia" w:ascii="宋体" w:hAnsi="宋体" w:cs="宋体"/>
        </w:rPr>
      </w:pPr>
      <w:r>
        <w:rPr>
          <w:rFonts w:hint="eastAsia" w:ascii="宋体" w:hAnsi="宋体" w:cs="宋体"/>
        </w:rPr>
        <w:t>3.3.1 响应文件应按照本章3.2款中规定的顺序及采用“响应文件格式”中提供的格式进行编制。</w:t>
      </w:r>
    </w:p>
    <w:p w14:paraId="4E55230F">
      <w:pPr>
        <w:pStyle w:val="63"/>
        <w:spacing w:line="360" w:lineRule="auto"/>
        <w:ind w:firstLine="420"/>
        <w:rPr>
          <w:rFonts w:hint="eastAsia" w:ascii="宋体" w:hAnsi="宋体" w:cs="宋体"/>
        </w:rPr>
      </w:pPr>
      <w:r>
        <w:rPr>
          <w:rFonts w:hint="eastAsia" w:ascii="宋体" w:hAnsi="宋体" w:cs="宋体"/>
        </w:rPr>
        <w:t xml:space="preserve">3.3.2响应文件应当对招标文件规定的内容进行明确，对招标文件规定的实质性内容应当作出响应。 </w:t>
      </w:r>
    </w:p>
    <w:p w14:paraId="332EE4D2">
      <w:pPr>
        <w:pStyle w:val="24"/>
        <w:adjustRightInd w:val="0"/>
        <w:snapToGrid w:val="0"/>
        <w:spacing w:line="360" w:lineRule="auto"/>
        <w:ind w:firstLine="420" w:firstLineChars="200"/>
        <w:rPr>
          <w:rFonts w:hint="eastAsia" w:hAnsi="宋体" w:cs="宋体"/>
          <w:szCs w:val="24"/>
        </w:rPr>
      </w:pPr>
      <w:r>
        <w:rPr>
          <w:rFonts w:hint="eastAsia" w:hAnsi="宋体" w:cs="宋体"/>
          <w:szCs w:val="24"/>
        </w:rPr>
        <w:t>3.3.3响应文件由供应商的法定代表人（单位负责人）或其委托代理人签字（或盖章）、盖单位公章。响应文件应尽量避免涂改、行间插字或删除，如果出现上述情况，改动之处应加盖单位公章或由法定代表人（单位负责人）或授权代表签字（或盖章）确认。签字或盖章的具体要求见“供应商须知前附表”。</w:t>
      </w:r>
    </w:p>
    <w:p w14:paraId="290D151F">
      <w:pPr>
        <w:pStyle w:val="63"/>
        <w:spacing w:line="360" w:lineRule="auto"/>
        <w:ind w:firstLine="420"/>
        <w:rPr>
          <w:rFonts w:hint="eastAsia" w:ascii="宋体" w:hAnsi="宋体" w:cs="宋体"/>
        </w:rPr>
      </w:pPr>
      <w:r>
        <w:rPr>
          <w:rFonts w:hint="eastAsia" w:ascii="宋体" w:hAnsi="宋体" w:cs="宋体"/>
        </w:rPr>
        <w:t>3.3.4响应文件制作要求详见“供应商须知前附表”。</w:t>
      </w:r>
    </w:p>
    <w:p w14:paraId="75F00F04">
      <w:pPr>
        <w:pStyle w:val="63"/>
        <w:spacing w:line="360" w:lineRule="auto"/>
        <w:ind w:firstLine="420"/>
        <w:rPr>
          <w:rFonts w:hint="eastAsia" w:ascii="宋体" w:hAnsi="宋体" w:cs="宋体"/>
        </w:rPr>
      </w:pPr>
      <w:r>
        <w:rPr>
          <w:rFonts w:hint="eastAsia" w:ascii="宋体" w:hAnsi="宋体" w:cs="宋体"/>
        </w:rPr>
        <w:t>3.3.5由于字迹模糊或表达不清引起的后果由供应商负责。</w:t>
      </w:r>
    </w:p>
    <w:p w14:paraId="157CF49B">
      <w:pPr>
        <w:pStyle w:val="63"/>
        <w:spacing w:line="360" w:lineRule="auto"/>
        <w:ind w:firstLine="420"/>
        <w:rPr>
          <w:rFonts w:hint="eastAsia" w:ascii="宋体" w:hAnsi="宋体" w:cs="宋体"/>
        </w:rPr>
      </w:pPr>
      <w:r>
        <w:rPr>
          <w:rFonts w:hint="eastAsia" w:ascii="宋体" w:hAnsi="宋体" w:cs="宋体"/>
        </w:rPr>
        <w:t>3.4、公开招标报价</w:t>
      </w:r>
    </w:p>
    <w:p w14:paraId="75C0A45D">
      <w:pPr>
        <w:pStyle w:val="63"/>
        <w:spacing w:line="360" w:lineRule="auto"/>
        <w:ind w:firstLine="420"/>
        <w:rPr>
          <w:rFonts w:hint="eastAsia" w:ascii="宋体" w:hAnsi="宋体" w:cs="宋体"/>
          <w:u w:val="thick"/>
        </w:rPr>
      </w:pPr>
      <w:r>
        <w:rPr>
          <w:rFonts w:hint="eastAsia" w:ascii="宋体" w:hAnsi="宋体" w:cs="宋体"/>
        </w:rPr>
        <w:t>3.4.1 ▲</w:t>
      </w:r>
      <w:r>
        <w:rPr>
          <w:rFonts w:hint="eastAsia" w:ascii="宋体" w:hAnsi="宋体" w:cs="宋体"/>
          <w:b/>
          <w:u w:val="thick"/>
        </w:rPr>
        <w:t>本次公开招标报价采用人民币报价</w:t>
      </w:r>
      <w:r>
        <w:rPr>
          <w:rFonts w:hint="eastAsia" w:ascii="宋体" w:hAnsi="宋体" w:cs="宋体"/>
          <w:u w:val="thick"/>
        </w:rPr>
        <w:t>。</w:t>
      </w:r>
    </w:p>
    <w:p w14:paraId="7A6E7D9E">
      <w:pPr>
        <w:pStyle w:val="63"/>
        <w:spacing w:line="360" w:lineRule="auto"/>
        <w:ind w:firstLine="420"/>
        <w:rPr>
          <w:rFonts w:hint="eastAsia" w:ascii="宋体" w:hAnsi="宋体" w:cs="宋体"/>
        </w:rPr>
      </w:pPr>
      <w:r>
        <w:rPr>
          <w:rFonts w:hint="eastAsia" w:ascii="宋体" w:hAnsi="宋体" w:cs="宋体"/>
        </w:rPr>
        <w:t>3.4.2 公开招标报价应是包括完成所有产品供货及履行所有规定服务所产生的全部费用及采购代理服务费。产品及服务须达到招标文件规定的质量标准及使用要求。</w:t>
      </w:r>
    </w:p>
    <w:p w14:paraId="7BD5FDB9">
      <w:pPr>
        <w:pStyle w:val="63"/>
        <w:spacing w:line="360" w:lineRule="auto"/>
        <w:ind w:firstLine="420"/>
        <w:rPr>
          <w:rFonts w:hint="eastAsia" w:ascii="宋体" w:hAnsi="宋体" w:cs="宋体"/>
        </w:rPr>
      </w:pPr>
      <w:r>
        <w:rPr>
          <w:rFonts w:hint="eastAsia" w:ascii="宋体" w:hAnsi="宋体" w:cs="宋体"/>
        </w:rPr>
        <w:t>3.4.3报价人应根据招标文件要求、采购人组织的现场踏勘实际情况、自身的综合实力，自由竞报公开招标报价并承担相应的风险责任。</w:t>
      </w:r>
    </w:p>
    <w:p w14:paraId="5B738EA0">
      <w:pPr>
        <w:pStyle w:val="63"/>
        <w:spacing w:line="360" w:lineRule="auto"/>
        <w:ind w:firstLine="420"/>
        <w:rPr>
          <w:rFonts w:hint="eastAsia" w:ascii="宋体" w:hAnsi="宋体" w:cs="宋体"/>
          <w:b/>
          <w:bCs/>
          <w:u w:val="thick"/>
        </w:rPr>
      </w:pPr>
      <w:r>
        <w:rPr>
          <w:rFonts w:hint="eastAsia" w:ascii="宋体" w:hAnsi="宋体" w:cs="宋体"/>
        </w:rPr>
        <w:t>3.4.4 ▲</w:t>
      </w:r>
      <w:r>
        <w:rPr>
          <w:rFonts w:hint="eastAsia" w:ascii="宋体" w:hAnsi="宋体" w:cs="宋体"/>
          <w:b/>
          <w:u w:val="thick"/>
        </w:rPr>
        <w:t>所投项目轮报价只允许有一个报价，不接受有选择报价的响应文件。</w:t>
      </w:r>
    </w:p>
    <w:p w14:paraId="7B338A08">
      <w:pPr>
        <w:pStyle w:val="63"/>
        <w:spacing w:line="360" w:lineRule="auto"/>
        <w:ind w:firstLine="420"/>
        <w:rPr>
          <w:rFonts w:hint="eastAsia" w:ascii="宋体" w:hAnsi="宋体" w:cs="宋体"/>
        </w:rPr>
      </w:pPr>
      <w:r>
        <w:rPr>
          <w:rFonts w:hint="eastAsia" w:ascii="宋体" w:hAnsi="宋体" w:cs="宋体"/>
        </w:rPr>
        <w:t>3.5　公开招标保证金</w:t>
      </w:r>
    </w:p>
    <w:p w14:paraId="0343430E">
      <w:pPr>
        <w:pStyle w:val="63"/>
        <w:spacing w:line="360" w:lineRule="auto"/>
        <w:ind w:firstLine="420" w:firstLineChars="0"/>
        <w:rPr>
          <w:rFonts w:hint="eastAsia" w:ascii="宋体" w:hAnsi="宋体" w:cs="宋体"/>
        </w:rPr>
      </w:pPr>
      <w:r>
        <w:rPr>
          <w:rFonts w:hint="eastAsia" w:ascii="宋体" w:hAnsi="宋体" w:cs="宋体"/>
        </w:rPr>
        <w:t xml:space="preserve">本项目无需缴纳。    </w:t>
      </w:r>
    </w:p>
    <w:p w14:paraId="46702429">
      <w:pPr>
        <w:pStyle w:val="63"/>
        <w:spacing w:line="360" w:lineRule="auto"/>
        <w:ind w:firstLine="420" w:firstLineChars="0"/>
        <w:rPr>
          <w:rFonts w:hint="eastAsia" w:ascii="宋体" w:hAnsi="宋体" w:cs="宋体"/>
        </w:rPr>
      </w:pPr>
      <w:r>
        <w:rPr>
          <w:rFonts w:hint="eastAsia" w:ascii="宋体" w:hAnsi="宋体" w:cs="宋体"/>
        </w:rPr>
        <w:t>3.6 响应文件有效期</w:t>
      </w:r>
    </w:p>
    <w:p w14:paraId="57281BF3">
      <w:pPr>
        <w:pStyle w:val="63"/>
        <w:spacing w:line="360" w:lineRule="auto"/>
        <w:ind w:firstLine="420"/>
        <w:rPr>
          <w:rFonts w:hint="eastAsia" w:ascii="宋体" w:hAnsi="宋体" w:cs="宋体"/>
        </w:rPr>
      </w:pPr>
      <w:r>
        <w:rPr>
          <w:rFonts w:hint="eastAsia" w:ascii="宋体" w:hAnsi="宋体" w:cs="宋体"/>
        </w:rPr>
        <w:t>3.6.1 响应文件有效期按“供应商须知前附表”规定，响应文件应在该有效期内保持有效。合同签订后，响应文件作为合同附件，响应文件有效期同合同有效期。</w:t>
      </w:r>
    </w:p>
    <w:p w14:paraId="38C52F11">
      <w:pPr>
        <w:pStyle w:val="63"/>
        <w:spacing w:line="360" w:lineRule="auto"/>
        <w:ind w:firstLine="420"/>
        <w:rPr>
          <w:rFonts w:hint="eastAsia" w:ascii="宋体" w:hAnsi="宋体" w:cs="宋体"/>
        </w:rPr>
      </w:pPr>
      <w:r>
        <w:rPr>
          <w:rFonts w:hint="eastAsia" w:ascii="宋体" w:hAnsi="宋体" w:cs="宋体"/>
        </w:rPr>
        <w:t>3.6.2 在特殊情况下，采购人可与供应商协商延长响应文件有效期，这种要求和答复均应以书面形式进行。</w:t>
      </w:r>
    </w:p>
    <w:p w14:paraId="7FAB6754">
      <w:pPr>
        <w:pStyle w:val="63"/>
        <w:spacing w:line="360" w:lineRule="auto"/>
        <w:ind w:firstLine="420"/>
        <w:rPr>
          <w:rFonts w:hint="eastAsia" w:ascii="宋体" w:hAnsi="宋体" w:cs="宋体"/>
        </w:rPr>
      </w:pPr>
      <w:r>
        <w:rPr>
          <w:rFonts w:hint="eastAsia" w:ascii="宋体" w:hAnsi="宋体" w:cs="宋体"/>
        </w:rPr>
        <w:t>3.6.3 供应商可拒绝接受延期要求。同意延长有效期的供应商不能修改响应文件。</w:t>
      </w:r>
    </w:p>
    <w:p w14:paraId="6DA7FEA5">
      <w:pPr>
        <w:pStyle w:val="4"/>
        <w:ind w:firstLine="422"/>
        <w:rPr>
          <w:rFonts w:hint="eastAsia" w:ascii="宋体" w:hAnsi="宋体" w:cs="宋体"/>
        </w:rPr>
      </w:pPr>
      <w:r>
        <w:rPr>
          <w:rFonts w:hint="eastAsia" w:ascii="宋体" w:hAnsi="宋体" w:cs="宋体"/>
        </w:rPr>
        <w:t>四、公开招标响应</w:t>
      </w:r>
    </w:p>
    <w:p w14:paraId="60E0E6F7">
      <w:pPr>
        <w:pStyle w:val="63"/>
        <w:spacing w:line="360" w:lineRule="auto"/>
        <w:ind w:firstLine="420"/>
        <w:rPr>
          <w:rFonts w:hint="eastAsia" w:ascii="宋体" w:hAnsi="宋体" w:cs="宋体"/>
        </w:rPr>
      </w:pPr>
      <w:r>
        <w:rPr>
          <w:rFonts w:hint="eastAsia" w:ascii="宋体" w:hAnsi="宋体" w:cs="宋体"/>
        </w:rPr>
        <w:t>4.1“电子加密响应文件”的上传、递交时间及地点：</w:t>
      </w:r>
    </w:p>
    <w:p w14:paraId="2F0988A5">
      <w:pPr>
        <w:pStyle w:val="63"/>
        <w:spacing w:line="360" w:lineRule="auto"/>
        <w:ind w:firstLine="420"/>
        <w:rPr>
          <w:rFonts w:hint="eastAsia" w:ascii="宋体" w:hAnsi="宋体" w:cs="宋体"/>
        </w:rPr>
      </w:pPr>
      <w:r>
        <w:rPr>
          <w:rFonts w:hint="eastAsia" w:ascii="宋体" w:hAnsi="宋体" w:cs="宋体"/>
        </w:rPr>
        <w:t>投标供应商应在投标截止时间前将“电子加密响应文件”成功上传递交至“乐采云平台”，否则投标无效。</w:t>
      </w:r>
    </w:p>
    <w:p w14:paraId="1BCBDF89">
      <w:pPr>
        <w:pStyle w:val="63"/>
        <w:spacing w:line="360" w:lineRule="auto"/>
        <w:ind w:firstLine="420"/>
        <w:rPr>
          <w:rFonts w:hint="eastAsia" w:ascii="宋体" w:hAnsi="宋体" w:cs="宋体"/>
        </w:rPr>
      </w:pPr>
      <w:r>
        <w:rPr>
          <w:rFonts w:hint="eastAsia" w:ascii="宋体" w:hAnsi="宋体" w:cs="宋体"/>
        </w:rPr>
        <w:t>4.2 响应文件的提交</w:t>
      </w:r>
    </w:p>
    <w:p w14:paraId="774B4A15">
      <w:pPr>
        <w:pStyle w:val="63"/>
        <w:spacing w:line="360" w:lineRule="auto"/>
        <w:ind w:firstLine="420"/>
        <w:rPr>
          <w:rFonts w:hint="eastAsia" w:ascii="宋体" w:hAnsi="宋体" w:cs="宋体"/>
        </w:rPr>
      </w:pPr>
      <w:r>
        <w:rPr>
          <w:rFonts w:hint="eastAsia" w:ascii="宋体" w:hAnsi="宋体" w:cs="宋体"/>
        </w:rPr>
        <w:t>4.2.1供应商应在“供应商须知前附表”规定响应文件提交的截止时间前提交响应文件。</w:t>
      </w:r>
    </w:p>
    <w:p w14:paraId="1E65F421">
      <w:pPr>
        <w:pStyle w:val="63"/>
        <w:spacing w:line="360" w:lineRule="auto"/>
        <w:ind w:firstLine="420"/>
        <w:rPr>
          <w:rFonts w:hint="eastAsia" w:ascii="宋体" w:hAnsi="宋体" w:cs="宋体"/>
        </w:rPr>
      </w:pPr>
      <w:r>
        <w:rPr>
          <w:rFonts w:hint="eastAsia" w:ascii="宋体" w:hAnsi="宋体" w:cs="宋体"/>
        </w:rPr>
        <w:t>4.2.2供应商提交响应文件地点见“供应商须知前附表”。</w:t>
      </w:r>
    </w:p>
    <w:p w14:paraId="48534A10">
      <w:pPr>
        <w:pStyle w:val="63"/>
        <w:spacing w:line="360" w:lineRule="auto"/>
        <w:ind w:firstLine="420"/>
        <w:rPr>
          <w:rFonts w:hint="eastAsia" w:ascii="宋体" w:hAnsi="宋体" w:cs="宋体"/>
        </w:rPr>
      </w:pPr>
      <w:r>
        <w:rPr>
          <w:rFonts w:hint="eastAsia" w:ascii="宋体" w:hAnsi="宋体" w:cs="宋体"/>
        </w:rPr>
        <w:t>4.2.3“电子加密响应文件”成功上传递交后，供应商可自行打印响应文件接收回执。</w:t>
      </w:r>
    </w:p>
    <w:p w14:paraId="3E4D2ADE">
      <w:pPr>
        <w:pStyle w:val="63"/>
        <w:spacing w:line="360" w:lineRule="auto"/>
        <w:ind w:firstLine="420"/>
        <w:rPr>
          <w:rFonts w:hint="eastAsia" w:ascii="宋体" w:hAnsi="宋体" w:cs="宋体"/>
        </w:rPr>
      </w:pPr>
      <w:r>
        <w:rPr>
          <w:rFonts w:hint="eastAsia" w:ascii="宋体" w:hAnsi="宋体" w:cs="宋体"/>
        </w:rPr>
        <w:t>4.2.4逾期提交的响应文件，采购人将不予受理。</w:t>
      </w:r>
    </w:p>
    <w:p w14:paraId="3172656F">
      <w:pPr>
        <w:pStyle w:val="63"/>
        <w:spacing w:line="360" w:lineRule="auto"/>
        <w:ind w:firstLine="420"/>
        <w:rPr>
          <w:rFonts w:hint="eastAsia" w:ascii="宋体" w:hAnsi="宋体" w:cs="宋体"/>
        </w:rPr>
      </w:pPr>
      <w:r>
        <w:rPr>
          <w:rFonts w:hint="eastAsia" w:ascii="宋体" w:hAnsi="宋体" w:cs="宋体"/>
        </w:rPr>
        <w:t>4.2.5采购人如因故推迟响应文件递交截止时间，应以书面形式通知所有供应商。在这种情况下，采购人和供应商的权利和义务将受到新的响应文件提交的截止时间的约束。</w:t>
      </w:r>
    </w:p>
    <w:p w14:paraId="0CAA248D">
      <w:pPr>
        <w:pStyle w:val="63"/>
        <w:spacing w:line="360" w:lineRule="auto"/>
        <w:ind w:firstLine="420"/>
        <w:rPr>
          <w:rFonts w:hint="eastAsia" w:ascii="宋体" w:hAnsi="宋体" w:cs="宋体"/>
        </w:rPr>
      </w:pPr>
      <w:r>
        <w:rPr>
          <w:rFonts w:hint="eastAsia" w:ascii="宋体" w:hAnsi="宋体" w:cs="宋体"/>
        </w:rPr>
        <w:t>4.3 响应文件的修改和撤回</w:t>
      </w:r>
    </w:p>
    <w:p w14:paraId="7648E4CD">
      <w:pPr>
        <w:pStyle w:val="63"/>
        <w:spacing w:line="360" w:lineRule="auto"/>
        <w:ind w:firstLine="420"/>
        <w:rPr>
          <w:rFonts w:hint="eastAsia" w:ascii="宋体" w:hAnsi="宋体" w:cs="宋体"/>
        </w:rPr>
      </w:pPr>
      <w:r>
        <w:rPr>
          <w:rFonts w:hint="eastAsia" w:ascii="宋体" w:hAnsi="宋体" w:cs="宋体"/>
        </w:rPr>
        <w:t>供应商在网上递交响应文件以后如必须修改或撤回响应文件，必须在响应文件提交的截止时间以前在网上撤回响应文件。</w:t>
      </w:r>
    </w:p>
    <w:p w14:paraId="657E736C">
      <w:pPr>
        <w:pStyle w:val="63"/>
        <w:spacing w:line="360" w:lineRule="auto"/>
        <w:ind w:firstLine="420"/>
        <w:rPr>
          <w:rFonts w:hint="eastAsia" w:ascii="宋体" w:hAnsi="宋体" w:cs="宋体"/>
        </w:rPr>
      </w:pPr>
      <w:r>
        <w:rPr>
          <w:rFonts w:hint="eastAsia" w:ascii="宋体" w:hAnsi="宋体" w:cs="宋体"/>
        </w:rPr>
        <w:t>4.4备选公开招标方案</w:t>
      </w:r>
    </w:p>
    <w:p w14:paraId="3F1EE641">
      <w:pPr>
        <w:pStyle w:val="63"/>
        <w:spacing w:line="360" w:lineRule="auto"/>
        <w:ind w:firstLine="420"/>
        <w:rPr>
          <w:rFonts w:hint="eastAsia" w:ascii="宋体" w:hAnsi="宋体" w:cs="宋体"/>
          <w:sz w:val="24"/>
        </w:rPr>
      </w:pPr>
      <w:r>
        <w:rPr>
          <w:rFonts w:hint="eastAsia" w:ascii="宋体" w:hAnsi="宋体" w:cs="宋体"/>
        </w:rPr>
        <w:t>供应商不得提交备选公开招标方案，否则，响应文件将被判定为无效响应。</w:t>
      </w:r>
    </w:p>
    <w:p w14:paraId="1F74144C">
      <w:pPr>
        <w:pStyle w:val="4"/>
        <w:ind w:firstLine="422"/>
        <w:rPr>
          <w:rFonts w:hint="eastAsia" w:ascii="宋体" w:hAnsi="宋体" w:cs="宋体"/>
        </w:rPr>
      </w:pPr>
      <w:r>
        <w:rPr>
          <w:rFonts w:hint="eastAsia" w:ascii="宋体" w:hAnsi="宋体" w:cs="宋体"/>
        </w:rPr>
        <w:t>五、</w:t>
      </w:r>
      <w:r>
        <w:rPr>
          <w:rFonts w:hint="eastAsia" w:ascii="宋体" w:hAnsi="宋体" w:cs="宋体"/>
          <w:kern w:val="0"/>
          <w:szCs w:val="21"/>
        </w:rPr>
        <w:t>响应文件的开启</w:t>
      </w:r>
      <w:r>
        <w:rPr>
          <w:rFonts w:hint="eastAsia" w:ascii="宋体" w:hAnsi="宋体" w:cs="宋体"/>
        </w:rPr>
        <w:t>、评审及合同签订</w:t>
      </w:r>
    </w:p>
    <w:p w14:paraId="433B626E">
      <w:pPr>
        <w:pStyle w:val="63"/>
        <w:spacing w:line="360" w:lineRule="auto"/>
        <w:ind w:firstLine="422"/>
        <w:rPr>
          <w:rFonts w:hint="eastAsia" w:ascii="宋体" w:hAnsi="宋体" w:cs="宋体"/>
          <w:b/>
        </w:rPr>
      </w:pPr>
      <w:r>
        <w:rPr>
          <w:rFonts w:hint="eastAsia" w:ascii="宋体" w:hAnsi="宋体" w:cs="宋体"/>
          <w:b/>
        </w:rPr>
        <w:t>5.1开标</w:t>
      </w:r>
    </w:p>
    <w:p w14:paraId="583BDFFD">
      <w:pPr>
        <w:pStyle w:val="63"/>
        <w:spacing w:line="360" w:lineRule="auto"/>
        <w:ind w:firstLine="422"/>
        <w:rPr>
          <w:rFonts w:hint="eastAsia" w:ascii="宋体" w:hAnsi="宋体" w:cs="宋体"/>
          <w:b/>
        </w:rPr>
      </w:pPr>
      <w:r>
        <w:rPr>
          <w:rFonts w:hint="eastAsia" w:ascii="宋体" w:hAnsi="宋体" w:cs="宋体"/>
          <w:b/>
        </w:rPr>
        <w:t>5.1.1开标形式</w:t>
      </w:r>
    </w:p>
    <w:p w14:paraId="0C0CD870">
      <w:pPr>
        <w:pStyle w:val="63"/>
        <w:spacing w:line="360" w:lineRule="auto"/>
        <w:ind w:firstLine="422"/>
        <w:rPr>
          <w:rFonts w:hint="eastAsia" w:ascii="宋体" w:hAnsi="宋体" w:cs="宋体"/>
          <w:b/>
        </w:rPr>
      </w:pPr>
      <w:r>
        <w:rPr>
          <w:rFonts w:hint="eastAsia" w:ascii="宋体" w:hAnsi="宋体" w:cs="宋体"/>
          <w:b/>
        </w:rPr>
        <w:t>采购组织机构将按照竞争性招标文件规定的时间通过“乐采云平台”组织开标、开启响应文件，所有供应商均应当准时在线参加。</w:t>
      </w:r>
    </w:p>
    <w:p w14:paraId="63D7E6E6">
      <w:pPr>
        <w:pStyle w:val="63"/>
        <w:spacing w:line="360" w:lineRule="auto"/>
        <w:ind w:firstLine="422"/>
        <w:rPr>
          <w:rFonts w:hint="eastAsia" w:ascii="宋体" w:hAnsi="宋体" w:cs="宋体"/>
          <w:b/>
        </w:rPr>
      </w:pPr>
      <w:r>
        <w:rPr>
          <w:rFonts w:hint="eastAsia" w:ascii="宋体" w:hAnsi="宋体" w:cs="宋体"/>
          <w:b/>
        </w:rPr>
        <w:t xml:space="preserve">5.1.2开标准备 </w:t>
      </w:r>
    </w:p>
    <w:p w14:paraId="6CC1F7D1">
      <w:pPr>
        <w:pStyle w:val="63"/>
        <w:spacing w:line="360" w:lineRule="auto"/>
        <w:ind w:firstLine="422"/>
        <w:rPr>
          <w:rFonts w:hint="eastAsia" w:ascii="宋体" w:hAnsi="宋体" w:cs="宋体"/>
          <w:b/>
        </w:rPr>
      </w:pPr>
      <w:r>
        <w:rPr>
          <w:rFonts w:hint="eastAsia" w:ascii="宋体" w:hAnsi="宋体" w:cs="宋体"/>
          <w:b/>
        </w:rPr>
        <w:t>开标的准备工作由采购组织机构负责落实；</w:t>
      </w:r>
    </w:p>
    <w:p w14:paraId="684D0D33">
      <w:pPr>
        <w:pStyle w:val="63"/>
        <w:spacing w:line="360" w:lineRule="auto"/>
        <w:ind w:firstLine="422"/>
        <w:rPr>
          <w:rFonts w:hint="eastAsia" w:ascii="宋体" w:hAnsi="宋体" w:cs="宋体"/>
          <w:b/>
        </w:rPr>
      </w:pPr>
      <w:r>
        <w:rPr>
          <w:rFonts w:hint="eastAsia" w:ascii="宋体" w:hAnsi="宋体" w:cs="宋体"/>
          <w:b/>
        </w:rPr>
        <w:t>采购组织机构将按照招标文件规定的时间通过“乐采云平台”组织开标、开启响应文件，所有供应商均应当准时在线参加（因供应商需要及时进行标书在线解密）。供应商如不在线参加的，视同认可开标结果，事后不得对开标结果提出异议，同时供应商因未在线参加开标而导致响应文件无法按时解密等一切后果由供应商自己承担。</w:t>
      </w:r>
    </w:p>
    <w:p w14:paraId="6F005C87">
      <w:pPr>
        <w:pStyle w:val="63"/>
        <w:spacing w:line="360" w:lineRule="auto"/>
        <w:ind w:firstLine="420"/>
        <w:rPr>
          <w:rFonts w:hint="eastAsia" w:ascii="宋体" w:hAnsi="宋体" w:cs="宋体"/>
        </w:rPr>
      </w:pPr>
      <w:r>
        <w:rPr>
          <w:rFonts w:hint="eastAsia" w:ascii="宋体" w:hAnsi="宋体" w:cs="宋体"/>
        </w:rPr>
        <w:t>5.1.3</w:t>
      </w:r>
      <w:r>
        <w:rPr>
          <w:rFonts w:hint="eastAsia" w:ascii="宋体" w:hAnsi="宋体" w:cs="宋体"/>
          <w:b/>
        </w:rPr>
        <w:t>开标流程(两阶段)</w:t>
      </w:r>
    </w:p>
    <w:p w14:paraId="7BEAA2AC">
      <w:pPr>
        <w:pStyle w:val="63"/>
        <w:spacing w:line="360" w:lineRule="auto"/>
        <w:ind w:firstLine="420"/>
        <w:rPr>
          <w:rFonts w:hint="eastAsia" w:ascii="宋体" w:hAnsi="宋体" w:cs="宋体"/>
        </w:rPr>
      </w:pPr>
      <w:r>
        <w:rPr>
          <w:rFonts w:hint="eastAsia" w:ascii="宋体" w:hAnsi="宋体" w:cs="宋体"/>
        </w:rPr>
        <w:t>5.1.3.1开标第一阶段</w:t>
      </w:r>
    </w:p>
    <w:p w14:paraId="736F9598">
      <w:pPr>
        <w:pStyle w:val="63"/>
        <w:spacing w:line="360" w:lineRule="auto"/>
        <w:ind w:firstLine="420"/>
        <w:rPr>
          <w:rFonts w:hint="eastAsia" w:ascii="宋体" w:hAnsi="宋体" w:cs="宋体"/>
        </w:rPr>
      </w:pPr>
      <w:r>
        <w:rPr>
          <w:rFonts w:hint="eastAsia" w:ascii="宋体" w:hAnsi="宋体" w:cs="宋体"/>
        </w:rPr>
        <w:t>（1）向各供应商发出电子加密响应文件【开始解密】通知，由供应商按招标文件规定的时间内自行进行响应文件解密。</w:t>
      </w:r>
    </w:p>
    <w:p w14:paraId="1ACAE4D4">
      <w:pPr>
        <w:pStyle w:val="63"/>
        <w:spacing w:line="360" w:lineRule="auto"/>
        <w:ind w:firstLine="420"/>
        <w:rPr>
          <w:rFonts w:hint="eastAsia" w:ascii="宋体" w:hAnsi="宋体" w:cs="宋体"/>
        </w:rPr>
      </w:pPr>
      <w:r>
        <w:rPr>
          <w:rFonts w:hint="eastAsia" w:ascii="宋体" w:hAnsi="宋体" w:cs="宋体"/>
        </w:rPr>
        <w:t>（2）响应文件解密结束，通过邮件形式发送各供应商组织签署《采购活动现场确认声明书》；</w:t>
      </w:r>
    </w:p>
    <w:p w14:paraId="74B94F30">
      <w:pPr>
        <w:pStyle w:val="63"/>
        <w:spacing w:line="360" w:lineRule="auto"/>
        <w:ind w:firstLine="420"/>
        <w:rPr>
          <w:rFonts w:hint="eastAsia" w:ascii="宋体" w:hAnsi="宋体" w:cs="宋体"/>
        </w:rPr>
      </w:pPr>
      <w:r>
        <w:rPr>
          <w:rFonts w:hint="eastAsia" w:ascii="宋体" w:hAnsi="宋体" w:cs="宋体"/>
        </w:rPr>
        <w:t>（3）开启商务技术响应文件，进入符合性审查（包括资格审查）；</w:t>
      </w:r>
    </w:p>
    <w:p w14:paraId="041FCACB">
      <w:pPr>
        <w:pStyle w:val="63"/>
        <w:spacing w:line="360" w:lineRule="auto"/>
        <w:ind w:firstLine="420"/>
        <w:rPr>
          <w:rFonts w:hint="eastAsia" w:ascii="宋体" w:hAnsi="宋体" w:cs="宋体"/>
        </w:rPr>
      </w:pPr>
      <w:r>
        <w:rPr>
          <w:rFonts w:hint="eastAsia" w:ascii="宋体" w:hAnsi="宋体" w:cs="宋体"/>
        </w:rPr>
        <w:t>（4）符合性审查通过的供应商的商务技术文件进入商务技术评审；</w:t>
      </w:r>
    </w:p>
    <w:p w14:paraId="52B38604">
      <w:pPr>
        <w:pStyle w:val="63"/>
        <w:spacing w:line="360" w:lineRule="auto"/>
        <w:ind w:firstLine="420"/>
        <w:rPr>
          <w:rFonts w:hint="eastAsia" w:ascii="宋体" w:hAnsi="宋体" w:cs="宋体"/>
        </w:rPr>
      </w:pPr>
      <w:r>
        <w:rPr>
          <w:rFonts w:hint="eastAsia" w:ascii="宋体" w:hAnsi="宋体" w:cs="宋体"/>
        </w:rPr>
        <w:t>（5）第一阶段开标结束。</w:t>
      </w:r>
    </w:p>
    <w:p w14:paraId="4C29311A">
      <w:pPr>
        <w:pStyle w:val="63"/>
        <w:spacing w:line="360" w:lineRule="auto"/>
        <w:ind w:firstLine="420"/>
        <w:rPr>
          <w:rFonts w:hint="eastAsia" w:ascii="宋体" w:hAnsi="宋体" w:cs="宋体"/>
        </w:rPr>
      </w:pPr>
      <w:r>
        <w:rPr>
          <w:rFonts w:hint="eastAsia" w:ascii="宋体" w:hAnsi="宋体" w:cs="宋体"/>
        </w:rPr>
        <w:t>5.1.3.2开标第二阶段</w:t>
      </w:r>
    </w:p>
    <w:p w14:paraId="634D90A1">
      <w:pPr>
        <w:pStyle w:val="63"/>
        <w:spacing w:line="360" w:lineRule="auto"/>
        <w:ind w:firstLine="420"/>
        <w:rPr>
          <w:rFonts w:hint="eastAsia" w:ascii="宋体" w:hAnsi="宋体" w:cs="宋体"/>
        </w:rPr>
      </w:pPr>
      <w:r>
        <w:rPr>
          <w:rFonts w:hint="eastAsia" w:ascii="宋体" w:hAnsi="宋体" w:cs="宋体"/>
        </w:rPr>
        <w:t>（1）符合性审查、商务技术评审结束后，进行开标第二阶段。</w:t>
      </w:r>
    </w:p>
    <w:p w14:paraId="31B256B1">
      <w:pPr>
        <w:pStyle w:val="63"/>
        <w:spacing w:line="360" w:lineRule="auto"/>
        <w:ind w:firstLine="420"/>
        <w:rPr>
          <w:rFonts w:hint="eastAsia" w:ascii="宋体" w:hAnsi="宋体" w:cs="宋体"/>
        </w:rPr>
      </w:pPr>
      <w:r>
        <w:rPr>
          <w:rFonts w:hint="eastAsia" w:ascii="宋体" w:hAnsi="宋体" w:cs="宋体"/>
        </w:rPr>
        <w:t>（2）开启符合性审查、商务技术评审有效供应商的《报价文件》（供应商在线确认）。结束后，由公开招标小组对报价的合理性、准确性等进行审查核实，并在线进行公开招标报价及评审。</w:t>
      </w:r>
    </w:p>
    <w:p w14:paraId="21B494DA">
      <w:pPr>
        <w:pStyle w:val="63"/>
        <w:spacing w:line="360" w:lineRule="auto"/>
        <w:ind w:firstLine="420"/>
        <w:rPr>
          <w:rFonts w:hint="eastAsia" w:ascii="宋体" w:hAnsi="宋体" w:cs="宋体"/>
        </w:rPr>
      </w:pPr>
      <w:r>
        <w:rPr>
          <w:rFonts w:hint="eastAsia" w:ascii="宋体" w:hAnsi="宋体" w:cs="宋体"/>
        </w:rPr>
        <w:t>（3）供应商在规定时间内在线提交最终报价。</w:t>
      </w:r>
    </w:p>
    <w:p w14:paraId="27BF2CCA">
      <w:pPr>
        <w:pStyle w:val="63"/>
        <w:spacing w:line="360" w:lineRule="auto"/>
        <w:ind w:firstLine="420"/>
        <w:rPr>
          <w:rFonts w:hint="eastAsia" w:ascii="宋体" w:hAnsi="宋体" w:cs="宋体"/>
        </w:rPr>
      </w:pPr>
      <w:r>
        <w:rPr>
          <w:rFonts w:hint="eastAsia" w:ascii="宋体" w:hAnsi="宋体" w:cs="宋体"/>
        </w:rPr>
        <w:t>（4）评审结束后，供应商可自行在线查看报价、得分、排序等信息。</w:t>
      </w:r>
    </w:p>
    <w:p w14:paraId="6C2600B2">
      <w:pPr>
        <w:pStyle w:val="63"/>
        <w:spacing w:line="360" w:lineRule="auto"/>
        <w:ind w:firstLine="422"/>
        <w:rPr>
          <w:rFonts w:hint="eastAsia" w:ascii="宋体" w:hAnsi="宋体" w:cs="宋体"/>
          <w:b/>
        </w:rPr>
      </w:pPr>
      <w:r>
        <w:rPr>
          <w:rFonts w:hint="eastAsia" w:ascii="宋体" w:hAnsi="宋体" w:cs="宋体"/>
          <w:b/>
        </w:rPr>
        <w:t>特别说明：如遇“乐采云平台”电子化开标或评审程序调整的，按调整后程序执行。</w:t>
      </w:r>
    </w:p>
    <w:p w14:paraId="08F5992A">
      <w:pPr>
        <w:pStyle w:val="63"/>
        <w:spacing w:line="360" w:lineRule="auto"/>
        <w:ind w:firstLine="420"/>
        <w:rPr>
          <w:rFonts w:hint="eastAsia" w:ascii="宋体" w:hAnsi="宋体" w:cs="宋体"/>
        </w:rPr>
      </w:pPr>
      <w:r>
        <w:rPr>
          <w:rFonts w:hint="eastAsia" w:ascii="宋体" w:hAnsi="宋体" w:cs="宋体"/>
        </w:rPr>
        <w:t>5.1.4开标时，响应文件中的开标一览表内容与响应文件中明细表内容不一致的，以开标一览表为准；响应文件的大写金额和小写金额不一致的，以大写金额为准；对不同文字文本响应文件的解释发生异议的，以中文文本为准。</w:t>
      </w:r>
    </w:p>
    <w:p w14:paraId="51019455">
      <w:pPr>
        <w:pStyle w:val="63"/>
        <w:spacing w:line="360" w:lineRule="auto"/>
        <w:ind w:firstLine="420"/>
        <w:rPr>
          <w:rFonts w:hint="eastAsia" w:ascii="宋体" w:hAnsi="宋体" w:cs="宋体"/>
        </w:rPr>
      </w:pPr>
      <w:r>
        <w:rPr>
          <w:rFonts w:hint="eastAsia" w:ascii="宋体" w:hAnsi="宋体" w:cs="宋体"/>
        </w:rPr>
        <w:t>5.2 响应文件初步评审</w:t>
      </w:r>
    </w:p>
    <w:p w14:paraId="44A463EF">
      <w:pPr>
        <w:pStyle w:val="63"/>
        <w:spacing w:line="360" w:lineRule="auto"/>
        <w:ind w:firstLine="420"/>
        <w:rPr>
          <w:rFonts w:hint="eastAsia" w:ascii="宋体" w:hAnsi="宋体" w:cs="宋体"/>
        </w:rPr>
      </w:pPr>
      <w:r>
        <w:rPr>
          <w:rFonts w:hint="eastAsia" w:ascii="宋体" w:hAnsi="宋体" w:cs="宋体"/>
        </w:rPr>
        <w:t>5.2.1公开招标小组将首先审查每份响应文件是否实质上响应了招标文件的要求，实质性响应的响应文件是指响应文件符合招标文件规定的实质性内容、条件和规定。</w:t>
      </w:r>
    </w:p>
    <w:p w14:paraId="719AA69B">
      <w:pPr>
        <w:pStyle w:val="63"/>
        <w:spacing w:line="360" w:lineRule="auto"/>
        <w:ind w:firstLine="420"/>
        <w:rPr>
          <w:rFonts w:hint="eastAsia" w:ascii="宋体" w:hAnsi="宋体" w:cs="宋体"/>
        </w:rPr>
      </w:pPr>
      <w:r>
        <w:rPr>
          <w:rFonts w:hint="eastAsia" w:ascii="宋体" w:hAnsi="宋体" w:cs="宋体"/>
        </w:rPr>
        <w:t>5.2.2重大偏离或保留是指将会影响到招标文件规定的服务范围、质量标准，或会给合同中规定的采购人的权利和供应商的责任造成实质性限制，而纠正这些偏离或保留将对其他提交了实质性响应的响应文件的供应商产生不公平影响的。</w:t>
      </w:r>
    </w:p>
    <w:p w14:paraId="54F67FE5">
      <w:pPr>
        <w:pStyle w:val="63"/>
        <w:spacing w:line="360" w:lineRule="auto"/>
        <w:ind w:firstLine="420"/>
        <w:rPr>
          <w:rFonts w:hint="eastAsia" w:ascii="宋体" w:hAnsi="宋体" w:cs="宋体"/>
        </w:rPr>
      </w:pPr>
      <w:r>
        <w:rPr>
          <w:rFonts w:hint="eastAsia" w:ascii="宋体" w:hAnsi="宋体" w:cs="宋体"/>
        </w:rPr>
        <w:t>5.2.3细微偏离是指响应文件对招标文件的非实质性内容存在不完全响应或不响应。</w:t>
      </w:r>
    </w:p>
    <w:p w14:paraId="0F954A23">
      <w:pPr>
        <w:pStyle w:val="63"/>
        <w:spacing w:line="360" w:lineRule="auto"/>
        <w:ind w:firstLine="420"/>
        <w:rPr>
          <w:rFonts w:hint="eastAsia" w:ascii="宋体" w:hAnsi="宋体" w:cs="宋体"/>
        </w:rPr>
      </w:pPr>
      <w:r>
        <w:rPr>
          <w:rFonts w:hint="eastAsia" w:ascii="宋体" w:hAnsi="宋体" w:cs="宋体"/>
        </w:rPr>
        <w:t>5.2.4重大偏离和保留、细微偏离由公开招标小组界定。初步评审时如发现响应文件与招标文件要求有重大偏离和保留，其响应文件将被作无效响应处理。供应商不得通过修正或撤消不符合招标文件要求的重大偏离和保留从而使其响应文件实质性响应招标文件要求。但允许响应文件在实质性满足招标文件要求的前提下出现的细微偏差，在详细评审时可按评审办法对细微偏差做出不利于该供应商的评审。</w:t>
      </w:r>
    </w:p>
    <w:p w14:paraId="6D49E14D">
      <w:pPr>
        <w:pStyle w:val="4"/>
        <w:ind w:firstLine="422"/>
        <w:rPr>
          <w:rFonts w:hint="eastAsia" w:ascii="宋体" w:hAnsi="宋体" w:cs="宋体"/>
        </w:rPr>
      </w:pPr>
      <w:r>
        <w:rPr>
          <w:rFonts w:hint="eastAsia" w:ascii="宋体" w:hAnsi="宋体" w:cs="宋体"/>
        </w:rPr>
        <w:t>六、公开招标</w:t>
      </w:r>
    </w:p>
    <w:p w14:paraId="465536D7">
      <w:pPr>
        <w:adjustRightInd w:val="0"/>
        <w:snapToGrid w:val="0"/>
        <w:spacing w:line="360" w:lineRule="auto"/>
        <w:ind w:firstLine="420" w:firstLineChars="200"/>
        <w:rPr>
          <w:rFonts w:hint="eastAsia" w:ascii="宋体" w:hAnsi="宋体" w:cs="宋体"/>
        </w:rPr>
      </w:pPr>
      <w:r>
        <w:rPr>
          <w:rFonts w:hint="eastAsia" w:ascii="宋体" w:hAnsi="宋体" w:cs="宋体"/>
        </w:rPr>
        <w:t>6.1 初步评审工作内容</w:t>
      </w:r>
    </w:p>
    <w:p w14:paraId="4E25B749">
      <w:pPr>
        <w:pStyle w:val="24"/>
        <w:spacing w:line="360" w:lineRule="auto"/>
        <w:ind w:firstLine="420" w:firstLineChars="200"/>
        <w:rPr>
          <w:rFonts w:hint="eastAsia" w:hAnsi="宋体" w:cs="宋体"/>
          <w:szCs w:val="24"/>
        </w:rPr>
      </w:pPr>
      <w:r>
        <w:rPr>
          <w:rFonts w:hint="eastAsia" w:hAnsi="宋体" w:cs="宋体"/>
        </w:rPr>
        <w:t>（</w:t>
      </w:r>
      <w:r>
        <w:rPr>
          <w:rFonts w:hint="eastAsia" w:hAnsi="宋体" w:cs="宋体"/>
          <w:szCs w:val="24"/>
        </w:rPr>
        <w:t>1）资格性检查</w:t>
      </w:r>
    </w:p>
    <w:p w14:paraId="17F55BEA">
      <w:pPr>
        <w:pStyle w:val="24"/>
        <w:spacing w:line="360" w:lineRule="auto"/>
        <w:ind w:firstLine="420" w:firstLineChars="200"/>
        <w:rPr>
          <w:rFonts w:hint="eastAsia" w:hAnsi="宋体" w:cs="宋体"/>
          <w:szCs w:val="24"/>
        </w:rPr>
      </w:pPr>
      <w:r>
        <w:rPr>
          <w:rFonts w:hint="eastAsia" w:hAnsi="宋体" w:cs="宋体"/>
          <w:szCs w:val="24"/>
        </w:rPr>
        <w:t>依据法律法规及招标文件的规定，对响应文件中的提供的资格证明材料进行审查，以确定供应商是否具备公开招标资格。</w:t>
      </w:r>
    </w:p>
    <w:p w14:paraId="3AD3E52B">
      <w:pPr>
        <w:pStyle w:val="24"/>
        <w:spacing w:line="360" w:lineRule="auto"/>
        <w:ind w:firstLine="420" w:firstLineChars="200"/>
        <w:rPr>
          <w:rFonts w:hint="eastAsia" w:hAnsi="宋体" w:cs="宋体"/>
          <w:szCs w:val="24"/>
        </w:rPr>
      </w:pPr>
      <w:r>
        <w:rPr>
          <w:rFonts w:hint="eastAsia" w:hAnsi="宋体" w:cs="宋体"/>
        </w:rPr>
        <w:t>（</w:t>
      </w:r>
      <w:r>
        <w:rPr>
          <w:rFonts w:hint="eastAsia" w:hAnsi="宋体" w:cs="宋体"/>
          <w:szCs w:val="24"/>
        </w:rPr>
        <w:t>2）符合性检查</w:t>
      </w:r>
    </w:p>
    <w:p w14:paraId="6E0B6F32">
      <w:pPr>
        <w:pStyle w:val="24"/>
        <w:spacing w:line="360" w:lineRule="auto"/>
        <w:ind w:firstLine="420" w:firstLineChars="200"/>
        <w:rPr>
          <w:rFonts w:hint="eastAsia" w:hAnsi="宋体" w:cs="宋体"/>
          <w:szCs w:val="24"/>
        </w:rPr>
      </w:pPr>
      <w:r>
        <w:rPr>
          <w:rFonts w:hint="eastAsia" w:hAnsi="宋体" w:cs="宋体"/>
          <w:szCs w:val="24"/>
        </w:rPr>
        <w:t>依据招标文件的规定，从响应文件的有效性、完整性和对招标文件的响应程度进行审查，以确定是否对招标文件的实质性要求作出响应。</w:t>
      </w:r>
    </w:p>
    <w:p w14:paraId="47B5C36E">
      <w:pPr>
        <w:pStyle w:val="63"/>
        <w:spacing w:line="360" w:lineRule="auto"/>
        <w:ind w:firstLine="420"/>
        <w:rPr>
          <w:rFonts w:hint="eastAsia" w:ascii="宋体" w:hAnsi="宋体" w:cs="宋体"/>
        </w:rPr>
      </w:pPr>
      <w:r>
        <w:rPr>
          <w:rFonts w:hint="eastAsia" w:ascii="宋体" w:hAnsi="宋体" w:cs="宋体"/>
        </w:rPr>
        <w:t>6.2 响应文件的澄清</w:t>
      </w:r>
    </w:p>
    <w:p w14:paraId="23172CF4">
      <w:pPr>
        <w:pStyle w:val="63"/>
        <w:spacing w:line="360" w:lineRule="auto"/>
        <w:ind w:firstLine="420"/>
        <w:rPr>
          <w:rFonts w:hint="eastAsia" w:ascii="宋体" w:hAnsi="宋体" w:cs="宋体"/>
        </w:rPr>
      </w:pPr>
      <w:r>
        <w:rPr>
          <w:rFonts w:hint="eastAsia" w:ascii="宋体" w:hAnsi="宋体" w:cs="宋体"/>
        </w:rPr>
        <w:t>6.2.1公开招标小组可要求供应商对响应文件中含义不明确、同类问题表述不一致、有明显的文字和计算错误的内容等进行澄清并做出书面答复。书面答复须由供应商代表签字（或盖章）并作为响应文件的一部分。</w:t>
      </w:r>
    </w:p>
    <w:p w14:paraId="4B2445E3">
      <w:pPr>
        <w:pStyle w:val="63"/>
        <w:spacing w:line="360" w:lineRule="auto"/>
        <w:ind w:firstLine="420"/>
        <w:rPr>
          <w:rFonts w:hint="eastAsia" w:ascii="宋体" w:hAnsi="宋体" w:cs="宋体"/>
        </w:rPr>
      </w:pPr>
      <w:r>
        <w:rPr>
          <w:rFonts w:hint="eastAsia" w:ascii="宋体" w:hAnsi="宋体" w:cs="宋体"/>
        </w:rPr>
        <w:t>6.2.2 供应商对响应文件的澄清不得超出响应文件的范围或者改变响应文件的实质性内容。</w:t>
      </w:r>
    </w:p>
    <w:p w14:paraId="4999E69D">
      <w:pPr>
        <w:pStyle w:val="63"/>
        <w:spacing w:line="360" w:lineRule="auto"/>
        <w:ind w:firstLine="420"/>
        <w:rPr>
          <w:rFonts w:hint="eastAsia" w:ascii="宋体" w:hAnsi="宋体" w:cs="宋体"/>
        </w:rPr>
      </w:pPr>
      <w:r>
        <w:rPr>
          <w:rFonts w:hint="eastAsia" w:ascii="宋体" w:hAnsi="宋体" w:cs="宋体"/>
        </w:rPr>
        <w:t>6.3 错误修正</w:t>
      </w:r>
    </w:p>
    <w:p w14:paraId="3030E403">
      <w:pPr>
        <w:pStyle w:val="63"/>
        <w:spacing w:line="360" w:lineRule="auto"/>
        <w:ind w:firstLine="420"/>
        <w:rPr>
          <w:rFonts w:hint="eastAsia" w:ascii="宋体" w:hAnsi="宋体" w:cs="宋体"/>
        </w:rPr>
      </w:pPr>
      <w:r>
        <w:rPr>
          <w:rFonts w:hint="eastAsia" w:ascii="宋体" w:hAnsi="宋体" w:cs="宋体"/>
        </w:rPr>
        <w:t>详见“评审办法”</w:t>
      </w:r>
    </w:p>
    <w:p w14:paraId="5EA80BCC">
      <w:pPr>
        <w:pStyle w:val="63"/>
        <w:spacing w:line="360" w:lineRule="auto"/>
        <w:ind w:firstLine="420"/>
        <w:rPr>
          <w:rFonts w:hint="eastAsia" w:ascii="宋体" w:hAnsi="宋体" w:cs="宋体"/>
        </w:rPr>
      </w:pPr>
      <w:r>
        <w:rPr>
          <w:rFonts w:hint="eastAsia" w:ascii="宋体" w:hAnsi="宋体" w:cs="宋体"/>
        </w:rPr>
        <w:t>6.4 公开招标小组评审时如发现供应商的报价明显低于其他通过符合性审查供应商的报价</w:t>
      </w:r>
      <w:r>
        <w:rPr>
          <w:rFonts w:hint="eastAsia" w:ascii="宋体" w:hAnsi="宋体" w:cs="宋体"/>
          <w:szCs w:val="21"/>
        </w:rPr>
        <w:t>，有可能影响产品质量和不能诚信履约的</w:t>
      </w:r>
      <w:r>
        <w:rPr>
          <w:rFonts w:hint="eastAsia" w:ascii="宋体" w:hAnsi="宋体" w:cs="宋体"/>
        </w:rPr>
        <w:t>，可要求该供应商在30分钟内书面说明并提供相关证明材料。该供应商不能合理说明原因并提供证明材料的，公开招标小组应将该响应文件作无效处理。</w:t>
      </w:r>
    </w:p>
    <w:p w14:paraId="6FD9809A">
      <w:pPr>
        <w:spacing w:line="360" w:lineRule="auto"/>
        <w:ind w:firstLine="413" w:firstLineChars="196"/>
        <w:rPr>
          <w:rFonts w:hint="eastAsia" w:ascii="宋体" w:hAnsi="宋体" w:cs="宋体"/>
          <w:b/>
          <w:bCs/>
        </w:rPr>
      </w:pPr>
      <w:r>
        <w:rPr>
          <w:rFonts w:hint="eastAsia" w:ascii="宋体" w:hAnsi="宋体" w:cs="宋体"/>
          <w:b/>
          <w:bCs/>
        </w:rPr>
        <w:t>6.5 无效响应</w:t>
      </w:r>
    </w:p>
    <w:p w14:paraId="06277894">
      <w:pPr>
        <w:pStyle w:val="63"/>
        <w:spacing w:line="360" w:lineRule="auto"/>
        <w:ind w:firstLine="422"/>
        <w:rPr>
          <w:rFonts w:hint="eastAsia" w:ascii="宋体" w:hAnsi="宋体" w:cs="宋体"/>
          <w:b/>
          <w:bCs/>
        </w:rPr>
      </w:pPr>
      <w:r>
        <w:rPr>
          <w:rFonts w:hint="eastAsia" w:ascii="宋体" w:hAnsi="宋体" w:cs="宋体"/>
          <w:b/>
          <w:bCs/>
        </w:rPr>
        <w:t>详见“评审办法”</w:t>
      </w:r>
    </w:p>
    <w:p w14:paraId="33497725">
      <w:pPr>
        <w:pStyle w:val="63"/>
        <w:spacing w:line="360" w:lineRule="auto"/>
        <w:ind w:firstLine="420"/>
        <w:rPr>
          <w:rFonts w:hint="eastAsia" w:ascii="宋体" w:hAnsi="宋体" w:cs="宋体"/>
        </w:rPr>
      </w:pPr>
      <w:r>
        <w:rPr>
          <w:rFonts w:hint="eastAsia" w:ascii="宋体" w:hAnsi="宋体" w:cs="宋体"/>
        </w:rPr>
        <w:t>6.6 公开招标</w:t>
      </w:r>
    </w:p>
    <w:p w14:paraId="246C94D2">
      <w:pPr>
        <w:pStyle w:val="63"/>
        <w:spacing w:line="360" w:lineRule="auto"/>
        <w:ind w:firstLine="420"/>
        <w:rPr>
          <w:rFonts w:hint="eastAsia" w:ascii="宋体" w:hAnsi="宋体" w:cs="宋体"/>
        </w:rPr>
      </w:pPr>
      <w:r>
        <w:rPr>
          <w:rFonts w:hint="eastAsia" w:ascii="宋体" w:hAnsi="宋体" w:cs="宋体"/>
        </w:rPr>
        <w:t>6.6.1 采购人将按相关规定组织公开招标小组，对响应文件进行审查、比较和评价。</w:t>
      </w:r>
    </w:p>
    <w:p w14:paraId="7495EF9D">
      <w:pPr>
        <w:pStyle w:val="63"/>
        <w:spacing w:line="360" w:lineRule="auto"/>
        <w:ind w:firstLine="420"/>
        <w:rPr>
          <w:rFonts w:hint="eastAsia" w:ascii="宋体" w:hAnsi="宋体" w:cs="宋体"/>
        </w:rPr>
      </w:pPr>
      <w:r>
        <w:rPr>
          <w:rFonts w:hint="eastAsia" w:ascii="宋体" w:hAnsi="宋体" w:cs="宋体"/>
        </w:rPr>
        <w:t>6.6.2 评审原则</w:t>
      </w:r>
    </w:p>
    <w:p w14:paraId="37164422">
      <w:pPr>
        <w:pStyle w:val="63"/>
        <w:spacing w:line="360" w:lineRule="auto"/>
        <w:ind w:firstLine="420"/>
        <w:rPr>
          <w:rFonts w:hint="eastAsia" w:ascii="宋体" w:hAnsi="宋体" w:cs="宋体"/>
        </w:rPr>
      </w:pPr>
      <w:r>
        <w:rPr>
          <w:rFonts w:hint="eastAsia" w:ascii="宋体" w:hAnsi="宋体" w:cs="宋体"/>
        </w:rPr>
        <w:t>本次评审采用综合评分法，在最大限度的满足招标文件实质性要求的前提下，按招标文件中规定各项评审因素进行综合评审后，以评审总得分最高的供应商作为成交候选供应商或成交供应商。采购人将把成交通知书授予最佳供应商，但最低报价不是成交的保证。</w:t>
      </w:r>
    </w:p>
    <w:p w14:paraId="6C40ADFB">
      <w:pPr>
        <w:pStyle w:val="63"/>
        <w:spacing w:line="360" w:lineRule="auto"/>
        <w:ind w:firstLine="420"/>
        <w:rPr>
          <w:rFonts w:hint="eastAsia" w:ascii="宋体" w:hAnsi="宋体" w:cs="宋体"/>
        </w:rPr>
      </w:pPr>
      <w:r>
        <w:rPr>
          <w:rFonts w:hint="eastAsia" w:ascii="宋体" w:hAnsi="宋体" w:cs="宋体"/>
        </w:rPr>
        <w:t>6.6.3评审办法</w:t>
      </w:r>
    </w:p>
    <w:p w14:paraId="085F6A07">
      <w:pPr>
        <w:pStyle w:val="63"/>
        <w:spacing w:line="360" w:lineRule="auto"/>
        <w:ind w:firstLine="420"/>
        <w:rPr>
          <w:rFonts w:hint="eastAsia" w:ascii="宋体" w:hAnsi="宋体" w:cs="宋体"/>
        </w:rPr>
      </w:pPr>
      <w:r>
        <w:rPr>
          <w:rFonts w:hint="eastAsia" w:ascii="宋体" w:hAnsi="宋体" w:cs="宋体"/>
        </w:rPr>
        <w:t>详见“评审办法”</w:t>
      </w:r>
    </w:p>
    <w:p w14:paraId="4F733B20">
      <w:pPr>
        <w:pStyle w:val="63"/>
        <w:spacing w:line="360" w:lineRule="auto"/>
        <w:ind w:firstLine="420"/>
        <w:rPr>
          <w:rFonts w:hint="eastAsia" w:ascii="宋体" w:hAnsi="宋体" w:cs="宋体"/>
        </w:rPr>
      </w:pPr>
      <w:r>
        <w:rPr>
          <w:rFonts w:hint="eastAsia" w:ascii="宋体" w:hAnsi="宋体" w:cs="宋体"/>
        </w:rPr>
        <w:t>6.7 终止</w:t>
      </w:r>
    </w:p>
    <w:p w14:paraId="12B01764">
      <w:pPr>
        <w:pStyle w:val="63"/>
        <w:spacing w:line="360" w:lineRule="auto"/>
        <w:ind w:firstLine="420"/>
        <w:rPr>
          <w:rFonts w:hint="eastAsia" w:ascii="宋体" w:hAnsi="宋体" w:cs="宋体"/>
        </w:rPr>
      </w:pPr>
      <w:r>
        <w:rPr>
          <w:rFonts w:hint="eastAsia" w:ascii="宋体" w:hAnsi="宋体" w:cs="宋体"/>
        </w:rPr>
        <w:t xml:space="preserve">在采购采购中，出现下列情形之一的，应予终止： </w:t>
      </w:r>
    </w:p>
    <w:p w14:paraId="087E05DD">
      <w:pPr>
        <w:pStyle w:val="63"/>
        <w:spacing w:line="360" w:lineRule="auto"/>
        <w:ind w:firstLine="420"/>
        <w:rPr>
          <w:rFonts w:hint="eastAsia" w:ascii="宋体" w:hAnsi="宋体" w:cs="宋体"/>
        </w:rPr>
      </w:pPr>
      <w:r>
        <w:rPr>
          <w:rFonts w:hint="eastAsia" w:ascii="宋体" w:hAnsi="宋体" w:cs="宋体"/>
        </w:rPr>
        <w:t xml:space="preserve">（1）出现影响采购公正的违法、违规行为的； </w:t>
      </w:r>
    </w:p>
    <w:p w14:paraId="65B39B0B">
      <w:pPr>
        <w:pStyle w:val="63"/>
        <w:spacing w:line="360" w:lineRule="auto"/>
        <w:ind w:firstLine="420"/>
        <w:rPr>
          <w:rFonts w:hint="eastAsia" w:ascii="宋体" w:hAnsi="宋体" w:cs="宋体"/>
        </w:rPr>
      </w:pPr>
      <w:r>
        <w:rPr>
          <w:rFonts w:hint="eastAsia" w:ascii="宋体" w:hAnsi="宋体" w:cs="宋体"/>
        </w:rPr>
        <w:t>（2）符合专业条件的供应商或者对招标文件作实质响应的供应商不足三家的；</w:t>
      </w:r>
    </w:p>
    <w:p w14:paraId="364FD1D5">
      <w:pPr>
        <w:pStyle w:val="63"/>
        <w:spacing w:line="360" w:lineRule="auto"/>
        <w:ind w:firstLine="420"/>
        <w:rPr>
          <w:rFonts w:hint="eastAsia" w:ascii="宋体" w:hAnsi="宋体" w:cs="宋体"/>
        </w:rPr>
      </w:pPr>
      <w:r>
        <w:rPr>
          <w:rFonts w:hint="eastAsia" w:ascii="宋体" w:hAnsi="宋体" w:cs="宋体"/>
        </w:rPr>
        <w:t xml:space="preserve">（3）供应商的报价均超过了最高限价，采购人不能支付的； </w:t>
      </w:r>
    </w:p>
    <w:p w14:paraId="2F31B43E">
      <w:pPr>
        <w:pStyle w:val="63"/>
        <w:spacing w:line="360" w:lineRule="auto"/>
        <w:ind w:firstLine="420"/>
        <w:rPr>
          <w:rFonts w:hint="eastAsia" w:ascii="宋体" w:hAnsi="宋体" w:cs="宋体"/>
        </w:rPr>
      </w:pPr>
      <w:r>
        <w:rPr>
          <w:rFonts w:hint="eastAsia" w:ascii="宋体" w:hAnsi="宋体" w:cs="宋体"/>
        </w:rPr>
        <w:t>（4）因重大变故，采购任务取消的。</w:t>
      </w:r>
    </w:p>
    <w:p w14:paraId="20DC7C87">
      <w:pPr>
        <w:pStyle w:val="63"/>
        <w:spacing w:line="360" w:lineRule="auto"/>
        <w:ind w:firstLine="420"/>
        <w:rPr>
          <w:rFonts w:hint="eastAsia" w:ascii="宋体" w:hAnsi="宋体" w:cs="宋体"/>
        </w:rPr>
      </w:pPr>
      <w:r>
        <w:rPr>
          <w:rFonts w:hint="eastAsia" w:ascii="宋体" w:hAnsi="宋体" w:cs="宋体"/>
        </w:rPr>
        <w:t>6.8确认采购结果</w:t>
      </w:r>
    </w:p>
    <w:p w14:paraId="45A1FDE4">
      <w:pPr>
        <w:pStyle w:val="63"/>
        <w:spacing w:line="360" w:lineRule="auto"/>
        <w:ind w:firstLine="420"/>
        <w:rPr>
          <w:rFonts w:hint="eastAsia" w:ascii="宋体" w:hAnsi="宋体" w:cs="宋体"/>
        </w:rPr>
      </w:pPr>
      <w:r>
        <w:rPr>
          <w:rFonts w:hint="eastAsia" w:ascii="宋体" w:hAnsi="宋体" w:cs="宋体"/>
        </w:rPr>
        <w:t>评审结束后，根据公开招标小组推荐，采购人按相关采购有关规定确定成交人。</w:t>
      </w:r>
    </w:p>
    <w:p w14:paraId="7295EC2A">
      <w:pPr>
        <w:pStyle w:val="63"/>
        <w:spacing w:line="360" w:lineRule="auto"/>
        <w:ind w:firstLine="420"/>
        <w:rPr>
          <w:rFonts w:hint="eastAsia" w:ascii="宋体" w:hAnsi="宋体" w:cs="宋体"/>
        </w:rPr>
      </w:pPr>
      <w:r>
        <w:rPr>
          <w:rFonts w:hint="eastAsia" w:ascii="宋体" w:hAnsi="宋体" w:cs="宋体"/>
        </w:rPr>
        <w:t>6.9 结果公告</w:t>
      </w:r>
    </w:p>
    <w:p w14:paraId="7C920D60">
      <w:pPr>
        <w:pStyle w:val="63"/>
        <w:spacing w:line="360" w:lineRule="auto"/>
        <w:ind w:firstLine="420"/>
        <w:rPr>
          <w:rFonts w:hint="eastAsia" w:ascii="宋体" w:hAnsi="宋体" w:cs="宋体"/>
        </w:rPr>
      </w:pPr>
      <w:r>
        <w:rPr>
          <w:rFonts w:hint="eastAsia" w:ascii="宋体" w:hAnsi="宋体" w:cs="宋体"/>
        </w:rPr>
        <w:t>在采购人确认采购结果后，采购代理机构按相关采购规定将成交结果发布在乐采云上进行公告，公告期为3日，采购人、采购代理机构及公开招标小组对未成交的供应商不作未成交原因解释。</w:t>
      </w:r>
    </w:p>
    <w:p w14:paraId="0A18217A">
      <w:pPr>
        <w:pStyle w:val="63"/>
        <w:spacing w:line="360" w:lineRule="auto"/>
        <w:ind w:firstLine="420"/>
        <w:rPr>
          <w:rFonts w:hint="eastAsia" w:ascii="宋体" w:hAnsi="宋体" w:cs="宋体"/>
        </w:rPr>
      </w:pPr>
      <w:r>
        <w:rPr>
          <w:rFonts w:hint="eastAsia" w:ascii="宋体" w:hAnsi="宋体" w:cs="宋体"/>
        </w:rPr>
        <w:t>6.</w:t>
      </w:r>
      <w:r>
        <w:rPr>
          <w:rFonts w:hint="eastAsia" w:ascii="宋体" w:hAnsi="宋体" w:cs="宋体"/>
          <w:bCs/>
        </w:rPr>
        <w:t>10　</w:t>
      </w:r>
      <w:r>
        <w:rPr>
          <w:rFonts w:hint="eastAsia" w:ascii="宋体" w:hAnsi="宋体" w:cs="宋体"/>
        </w:rPr>
        <w:t>采购过程、采购结果质疑</w:t>
      </w:r>
    </w:p>
    <w:p w14:paraId="5AC8F3B3">
      <w:pPr>
        <w:pStyle w:val="63"/>
        <w:spacing w:line="360" w:lineRule="auto"/>
        <w:ind w:firstLine="420"/>
        <w:rPr>
          <w:rFonts w:hint="eastAsia" w:ascii="宋体" w:hAnsi="宋体" w:cs="宋体"/>
        </w:rPr>
      </w:pPr>
      <w:r>
        <w:rPr>
          <w:rFonts w:hint="eastAsia" w:ascii="宋体" w:hAnsi="宋体" w:cs="宋体"/>
        </w:rPr>
        <w:t>6.10.1供应商认为采购过程、采购结果使自己的合法权益受到损害的，供应商可以提出书面质疑。</w:t>
      </w:r>
    </w:p>
    <w:p w14:paraId="6A3A0493">
      <w:pPr>
        <w:pStyle w:val="63"/>
        <w:spacing w:line="360" w:lineRule="auto"/>
        <w:ind w:firstLine="420"/>
        <w:rPr>
          <w:rFonts w:hint="eastAsia" w:ascii="宋体" w:hAnsi="宋体" w:cs="宋体"/>
        </w:rPr>
      </w:pPr>
      <w:r>
        <w:rPr>
          <w:rFonts w:hint="eastAsia" w:ascii="宋体" w:hAnsi="宋体" w:cs="宋体"/>
        </w:rPr>
        <w:t>6.10.2供应商提出质疑应当提交质疑函和必要的证明材料。质疑函应当包括下列内容：</w:t>
      </w:r>
    </w:p>
    <w:p w14:paraId="4ECE607B">
      <w:pPr>
        <w:pStyle w:val="63"/>
        <w:spacing w:line="360" w:lineRule="auto"/>
        <w:ind w:firstLine="420"/>
        <w:rPr>
          <w:rFonts w:hint="eastAsia" w:ascii="宋体" w:hAnsi="宋体" w:cs="宋体"/>
        </w:rPr>
      </w:pPr>
      <w:r>
        <w:rPr>
          <w:rFonts w:hint="eastAsia" w:ascii="宋体" w:hAnsi="宋体" w:cs="宋体"/>
        </w:rPr>
        <w:t>（1）供应商的姓名或者名称、地址、邮编、联系人及联系电话；</w:t>
      </w:r>
    </w:p>
    <w:p w14:paraId="5E5829CB">
      <w:pPr>
        <w:pStyle w:val="63"/>
        <w:spacing w:line="360" w:lineRule="auto"/>
        <w:ind w:firstLine="420"/>
        <w:rPr>
          <w:rFonts w:hint="eastAsia" w:ascii="宋体" w:hAnsi="宋体" w:cs="宋体"/>
        </w:rPr>
      </w:pPr>
      <w:r>
        <w:rPr>
          <w:rFonts w:hint="eastAsia" w:ascii="宋体" w:hAnsi="宋体" w:cs="宋体"/>
        </w:rPr>
        <w:t>（2）质疑项目的名称、编号；</w:t>
      </w:r>
    </w:p>
    <w:p w14:paraId="77484C26">
      <w:pPr>
        <w:pStyle w:val="63"/>
        <w:spacing w:line="360" w:lineRule="auto"/>
        <w:ind w:firstLine="420"/>
        <w:rPr>
          <w:rFonts w:hint="eastAsia" w:ascii="宋体" w:hAnsi="宋体" w:cs="宋体"/>
        </w:rPr>
      </w:pPr>
      <w:r>
        <w:rPr>
          <w:rFonts w:hint="eastAsia" w:ascii="宋体" w:hAnsi="宋体" w:cs="宋体"/>
        </w:rPr>
        <w:t>（3）具体、明确的质疑事项和与质疑事项相关的请求；</w:t>
      </w:r>
    </w:p>
    <w:p w14:paraId="2B9E543A">
      <w:pPr>
        <w:pStyle w:val="63"/>
        <w:spacing w:line="360" w:lineRule="auto"/>
        <w:ind w:firstLine="420"/>
        <w:rPr>
          <w:rFonts w:hint="eastAsia" w:ascii="宋体" w:hAnsi="宋体" w:cs="宋体"/>
        </w:rPr>
      </w:pPr>
      <w:r>
        <w:rPr>
          <w:rFonts w:hint="eastAsia" w:ascii="宋体" w:hAnsi="宋体" w:cs="宋体"/>
        </w:rPr>
        <w:t>（4）事实依据；</w:t>
      </w:r>
    </w:p>
    <w:p w14:paraId="741209D0">
      <w:pPr>
        <w:pStyle w:val="63"/>
        <w:spacing w:line="360" w:lineRule="auto"/>
        <w:ind w:firstLine="420"/>
        <w:rPr>
          <w:rFonts w:hint="eastAsia" w:ascii="宋体" w:hAnsi="宋体" w:cs="宋体"/>
        </w:rPr>
      </w:pPr>
      <w:r>
        <w:rPr>
          <w:rFonts w:hint="eastAsia" w:ascii="宋体" w:hAnsi="宋体" w:cs="宋体"/>
        </w:rPr>
        <w:t>（5）必要的法律依据；</w:t>
      </w:r>
    </w:p>
    <w:p w14:paraId="730F5B1C">
      <w:pPr>
        <w:pStyle w:val="63"/>
        <w:spacing w:line="360" w:lineRule="auto"/>
        <w:ind w:firstLine="420"/>
        <w:rPr>
          <w:rFonts w:hint="eastAsia" w:ascii="宋体" w:hAnsi="宋体" w:cs="宋体"/>
        </w:rPr>
      </w:pPr>
      <w:r>
        <w:rPr>
          <w:rFonts w:hint="eastAsia" w:ascii="宋体" w:hAnsi="宋体" w:cs="宋体"/>
        </w:rPr>
        <w:t>（6）提出质疑的日期。</w:t>
      </w:r>
    </w:p>
    <w:p w14:paraId="2F272667">
      <w:pPr>
        <w:pStyle w:val="63"/>
        <w:spacing w:line="360" w:lineRule="auto"/>
        <w:ind w:firstLine="420"/>
        <w:rPr>
          <w:rFonts w:hint="eastAsia" w:ascii="宋体" w:hAnsi="宋体" w:cs="宋体"/>
        </w:rPr>
      </w:pPr>
      <w:r>
        <w:rPr>
          <w:rFonts w:hint="eastAsia" w:ascii="宋体" w:hAnsi="宋体" w:cs="宋体"/>
        </w:rPr>
        <w:t>供应商为自然人的，应当由本人签字；供应商为法人或者其他组织的，应当由法定代表人、主要负责人，或者其授权代表签字或者盖章，并加盖公章。</w:t>
      </w:r>
    </w:p>
    <w:p w14:paraId="0BF9002F">
      <w:pPr>
        <w:pStyle w:val="63"/>
        <w:spacing w:line="360" w:lineRule="auto"/>
        <w:ind w:firstLine="420"/>
        <w:rPr>
          <w:rFonts w:hint="eastAsia" w:ascii="宋体" w:hAnsi="宋体" w:cs="宋体"/>
        </w:rPr>
      </w:pPr>
      <w:r>
        <w:rPr>
          <w:rFonts w:hint="eastAsia" w:ascii="宋体" w:hAnsi="宋体" w:cs="宋体"/>
        </w:rPr>
        <w:t>6.10.3采购过程的质疑期限自各采购程序环节结束之日起计算，3个自然日内向采购代理机构提出，逾期提出不予受理。供应商须在法定质疑期内一次性提出针对采购过程的质疑。</w:t>
      </w:r>
    </w:p>
    <w:p w14:paraId="6A88B87A">
      <w:pPr>
        <w:pStyle w:val="63"/>
        <w:spacing w:line="360" w:lineRule="auto"/>
        <w:ind w:firstLine="420"/>
        <w:rPr>
          <w:rFonts w:hint="eastAsia" w:ascii="宋体" w:hAnsi="宋体" w:cs="宋体"/>
        </w:rPr>
      </w:pPr>
      <w:r>
        <w:rPr>
          <w:rFonts w:hint="eastAsia" w:ascii="宋体" w:hAnsi="宋体" w:cs="宋体"/>
        </w:rPr>
        <w:t>采购结果的质疑期限自采购结果公告（包括结果公示、结果变更公告等）之日起计算，3个自然日内向采购代理机构提出，逾期提出不予受理。供应商须在质疑期内一次性提出针对采购结果的质疑。</w:t>
      </w:r>
    </w:p>
    <w:p w14:paraId="1A1A235F">
      <w:pPr>
        <w:pStyle w:val="63"/>
        <w:spacing w:line="360" w:lineRule="auto"/>
        <w:ind w:firstLine="420"/>
        <w:rPr>
          <w:rFonts w:hint="eastAsia" w:ascii="宋体" w:hAnsi="宋体" w:cs="宋体"/>
        </w:rPr>
      </w:pPr>
      <w:r>
        <w:rPr>
          <w:rFonts w:hint="eastAsia" w:ascii="宋体" w:hAnsi="宋体" w:cs="宋体"/>
        </w:rPr>
        <w:t>6.10.4质疑书中涉及的相关材料中有外文资料的，应当将与质疑相关的外文资料完整、客观、真实地翻译为中文，并注明翻译人员姓名、工作单位、联系方式等信息。</w:t>
      </w:r>
    </w:p>
    <w:p w14:paraId="77CBC16F">
      <w:pPr>
        <w:pStyle w:val="63"/>
        <w:spacing w:line="360" w:lineRule="auto"/>
        <w:ind w:firstLine="420"/>
        <w:rPr>
          <w:rFonts w:hint="eastAsia" w:ascii="宋体" w:hAnsi="宋体" w:cs="宋体"/>
        </w:rPr>
      </w:pPr>
      <w:r>
        <w:rPr>
          <w:rFonts w:hint="eastAsia" w:ascii="宋体" w:hAnsi="宋体" w:cs="宋体"/>
        </w:rPr>
        <w:t>6.10.5质疑书以直接提交、传真或邮寄方式提交（一式三份）。</w:t>
      </w:r>
    </w:p>
    <w:p w14:paraId="5EC8BBEE">
      <w:pPr>
        <w:pStyle w:val="63"/>
        <w:spacing w:line="360" w:lineRule="auto"/>
        <w:ind w:firstLine="420"/>
        <w:rPr>
          <w:rFonts w:hint="eastAsia" w:ascii="宋体" w:hAnsi="宋体" w:cs="宋体"/>
        </w:rPr>
      </w:pPr>
      <w:r>
        <w:rPr>
          <w:rFonts w:hint="eastAsia" w:ascii="宋体" w:hAnsi="宋体" w:cs="宋体"/>
        </w:rPr>
        <w:t>6.10.6质疑书以传真形式提交后，同时须向采购代理机构提交质疑书原件，采购代理机构以收到原件之日作为收到质疑日。</w:t>
      </w:r>
    </w:p>
    <w:p w14:paraId="55DE75FF">
      <w:pPr>
        <w:pStyle w:val="63"/>
        <w:spacing w:line="360" w:lineRule="auto"/>
        <w:ind w:firstLine="420"/>
        <w:rPr>
          <w:rFonts w:hint="eastAsia" w:ascii="宋体" w:hAnsi="宋体" w:cs="宋体"/>
        </w:rPr>
      </w:pPr>
      <w:r>
        <w:rPr>
          <w:rFonts w:hint="eastAsia" w:ascii="宋体" w:hAnsi="宋体" w:cs="宋体"/>
        </w:rPr>
        <w:t>6.11　发出成交通知书</w:t>
      </w:r>
    </w:p>
    <w:p w14:paraId="52619DFD">
      <w:pPr>
        <w:pStyle w:val="63"/>
        <w:spacing w:line="360" w:lineRule="auto"/>
        <w:ind w:firstLine="420"/>
        <w:rPr>
          <w:rFonts w:hint="eastAsia" w:ascii="宋体" w:hAnsi="宋体" w:cs="宋体"/>
        </w:rPr>
      </w:pPr>
      <w:r>
        <w:rPr>
          <w:rFonts w:hint="eastAsia" w:ascii="宋体" w:hAnsi="宋体" w:cs="宋体"/>
        </w:rPr>
        <w:t>6.11.1采购人及采购代理机构将以书面形式向成交人发出成交通知书。</w:t>
      </w:r>
    </w:p>
    <w:p w14:paraId="05F6D166">
      <w:pPr>
        <w:pStyle w:val="63"/>
        <w:spacing w:line="360" w:lineRule="auto"/>
        <w:ind w:firstLine="420"/>
        <w:rPr>
          <w:rFonts w:hint="eastAsia" w:ascii="宋体" w:hAnsi="宋体" w:cs="宋体"/>
        </w:rPr>
      </w:pPr>
      <w:r>
        <w:rPr>
          <w:rFonts w:hint="eastAsia" w:ascii="宋体" w:hAnsi="宋体" w:cs="宋体"/>
        </w:rPr>
        <w:t>6.12、签订合同</w:t>
      </w:r>
    </w:p>
    <w:p w14:paraId="68CBEB67">
      <w:pPr>
        <w:pStyle w:val="63"/>
        <w:spacing w:line="360" w:lineRule="auto"/>
        <w:ind w:firstLine="420"/>
        <w:rPr>
          <w:rFonts w:hint="eastAsia" w:ascii="宋体" w:hAnsi="宋体" w:cs="宋体"/>
        </w:rPr>
      </w:pPr>
      <w:r>
        <w:rPr>
          <w:rFonts w:hint="eastAsia" w:ascii="宋体" w:hAnsi="宋体" w:cs="宋体"/>
        </w:rPr>
        <w:t>6.12.1 成交人应在接到成交通知书后按成交通知书规定的时间、地点与采购人签订合同。</w:t>
      </w:r>
    </w:p>
    <w:p w14:paraId="7212B4D8">
      <w:pPr>
        <w:pStyle w:val="63"/>
        <w:spacing w:line="360" w:lineRule="auto"/>
        <w:ind w:firstLine="420"/>
        <w:rPr>
          <w:rFonts w:hint="eastAsia" w:ascii="宋体" w:hAnsi="宋体" w:cs="宋体"/>
        </w:rPr>
      </w:pPr>
      <w:r>
        <w:rPr>
          <w:rFonts w:hint="eastAsia" w:ascii="宋体" w:hAnsi="宋体" w:cs="宋体"/>
        </w:rPr>
        <w:t>6.12.2招标文件及补充文件、成交人的响应文件及公开招标修改文件、评审过程中有关澄清文件和成交通知书均作为合同附件。</w:t>
      </w:r>
    </w:p>
    <w:p w14:paraId="52B0A7EC">
      <w:pPr>
        <w:pStyle w:val="63"/>
        <w:spacing w:line="360" w:lineRule="auto"/>
        <w:ind w:firstLine="420"/>
        <w:rPr>
          <w:rFonts w:hint="eastAsia" w:ascii="宋体" w:hAnsi="宋体" w:cs="宋体"/>
        </w:rPr>
      </w:pPr>
      <w:r>
        <w:rPr>
          <w:rFonts w:hint="eastAsia" w:ascii="宋体" w:hAnsi="宋体" w:cs="宋体"/>
        </w:rPr>
        <w:t>6.12.3拒签合同的责任</w:t>
      </w:r>
    </w:p>
    <w:p w14:paraId="5E26E079">
      <w:pPr>
        <w:pStyle w:val="63"/>
        <w:spacing w:line="360" w:lineRule="auto"/>
        <w:ind w:firstLine="420"/>
        <w:rPr>
          <w:rFonts w:hint="eastAsia" w:ascii="宋体" w:hAnsi="宋体" w:cs="宋体"/>
        </w:rPr>
      </w:pPr>
      <w:r>
        <w:rPr>
          <w:rFonts w:hint="eastAsia" w:ascii="宋体" w:hAnsi="宋体" w:cs="宋体"/>
        </w:rPr>
        <w:t>成交人接到成交通知书后，在规定时间内借故否认已经承诺的条件而拒签合同者，以公开招标违约处理，并赔偿采购人由此造成的直接经济损失。采购人将向采购监督部门进行汇报。</w:t>
      </w:r>
    </w:p>
    <w:p w14:paraId="147E76B3">
      <w:pPr>
        <w:pStyle w:val="63"/>
        <w:spacing w:line="360" w:lineRule="auto"/>
        <w:ind w:firstLine="420"/>
        <w:rPr>
          <w:rFonts w:hint="eastAsia" w:ascii="宋体" w:hAnsi="宋体" w:cs="宋体"/>
        </w:rPr>
      </w:pPr>
      <w:r>
        <w:rPr>
          <w:rFonts w:hint="eastAsia" w:ascii="宋体" w:hAnsi="宋体" w:cs="宋体"/>
        </w:rPr>
        <w:t>6.13　履约保证金</w:t>
      </w:r>
    </w:p>
    <w:p w14:paraId="529C645A">
      <w:pPr>
        <w:pStyle w:val="63"/>
        <w:spacing w:line="360" w:lineRule="auto"/>
        <w:ind w:firstLine="420"/>
        <w:rPr>
          <w:rFonts w:hint="eastAsia" w:ascii="宋体" w:hAnsi="宋体" w:cs="宋体"/>
        </w:rPr>
      </w:pPr>
      <w:r>
        <w:rPr>
          <w:rFonts w:hint="eastAsia" w:ascii="宋体" w:hAnsi="宋体" w:cs="宋体"/>
        </w:rPr>
        <w:t>无</w:t>
      </w:r>
    </w:p>
    <w:p w14:paraId="54C2BACB">
      <w:pPr>
        <w:pStyle w:val="63"/>
        <w:spacing w:line="360" w:lineRule="auto"/>
        <w:ind w:firstLine="420"/>
        <w:rPr>
          <w:rFonts w:hint="eastAsia" w:ascii="宋体" w:hAnsi="宋体" w:cs="宋体"/>
        </w:rPr>
      </w:pPr>
      <w:r>
        <w:rPr>
          <w:rFonts w:hint="eastAsia" w:ascii="宋体" w:hAnsi="宋体" w:cs="宋体"/>
        </w:rPr>
        <w:t>6.14　采购代理服务费</w:t>
      </w:r>
    </w:p>
    <w:p w14:paraId="4D84DF61">
      <w:pPr>
        <w:pStyle w:val="24"/>
        <w:adjustRightInd w:val="0"/>
        <w:snapToGrid w:val="0"/>
        <w:spacing w:line="360" w:lineRule="auto"/>
        <w:ind w:firstLine="420" w:firstLineChars="200"/>
        <w:rPr>
          <w:rFonts w:hint="eastAsia" w:hAnsi="宋体" w:cs="宋体"/>
        </w:rPr>
      </w:pPr>
      <w:r>
        <w:rPr>
          <w:rFonts w:hint="eastAsia" w:hAnsi="宋体" w:cs="宋体"/>
        </w:rPr>
        <w:t>本次采购代理服务费按“供应商须知前附表”规定收取。</w:t>
      </w:r>
    </w:p>
    <w:p w14:paraId="7D7A59B6">
      <w:pPr>
        <w:pStyle w:val="3"/>
        <w:rPr>
          <w:rFonts w:hint="eastAsia" w:ascii="宋体" w:hAnsi="宋体" w:cs="宋体"/>
          <w:b w:val="0"/>
          <w:color w:val="auto"/>
        </w:rPr>
      </w:pPr>
      <w:r>
        <w:rPr>
          <w:rFonts w:hint="eastAsia" w:ascii="宋体" w:hAnsi="宋体" w:cs="宋体"/>
          <w:color w:val="auto"/>
        </w:rPr>
        <w:br w:type="page"/>
      </w:r>
      <w:bookmarkStart w:id="7" w:name="_Toc5381"/>
      <w:r>
        <w:rPr>
          <w:rFonts w:hint="eastAsia" w:ascii="宋体" w:hAnsi="宋体" w:cs="宋体"/>
          <w:color w:val="auto"/>
        </w:rPr>
        <w:t>第三章  采购内容及需求</w:t>
      </w:r>
      <w:bookmarkEnd w:id="7"/>
    </w:p>
    <w:p w14:paraId="59D09446">
      <w:pPr>
        <w:snapToGrid w:val="0"/>
        <w:spacing w:line="360" w:lineRule="auto"/>
        <w:ind w:firstLine="422" w:firstLineChars="200"/>
        <w:rPr>
          <w:rFonts w:hint="eastAsia" w:ascii="宋体" w:hAnsi="宋体" w:cs="宋体"/>
          <w:b/>
          <w:szCs w:val="21"/>
        </w:rPr>
      </w:pPr>
      <w:r>
        <w:rPr>
          <w:rFonts w:hint="eastAsia" w:ascii="宋体" w:hAnsi="宋体" w:cs="宋体"/>
          <w:b/>
          <w:szCs w:val="21"/>
        </w:rPr>
        <w:t>一、概述</w:t>
      </w:r>
    </w:p>
    <w:p w14:paraId="31D536B2">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选择一家供应商为工艺大厦提供保洁服务、车辆管理服务以及蓝领公寓物业管理服务。</w:t>
      </w:r>
    </w:p>
    <w:p w14:paraId="5BA00867">
      <w:pPr>
        <w:snapToGrid w:val="0"/>
        <w:spacing w:line="360" w:lineRule="auto"/>
        <w:ind w:firstLine="422" w:firstLineChars="200"/>
        <w:rPr>
          <w:rFonts w:hint="eastAsia" w:ascii="宋体" w:hAnsi="宋体" w:cs="宋体"/>
          <w:b/>
          <w:szCs w:val="21"/>
        </w:rPr>
      </w:pPr>
      <w:r>
        <w:rPr>
          <w:rFonts w:hint="eastAsia" w:ascii="宋体" w:hAnsi="宋体" w:cs="宋体"/>
          <w:b/>
          <w:szCs w:val="21"/>
        </w:rPr>
        <w:t>二、服务内容</w:t>
      </w:r>
    </w:p>
    <w:p w14:paraId="256F4B09">
      <w:pPr>
        <w:adjustRightInd w:val="0"/>
        <w:snapToGrid w:val="0"/>
        <w:spacing w:line="360" w:lineRule="auto"/>
        <w:ind w:firstLine="420" w:firstLineChars="200"/>
        <w:rPr>
          <w:rFonts w:hint="eastAsia" w:ascii="宋体" w:hAnsi="宋体" w:cs="宋体"/>
          <w:szCs w:val="21"/>
        </w:rPr>
      </w:pPr>
      <w:bookmarkStart w:id="8" w:name="_Toc373222961"/>
      <w:bookmarkStart w:id="9" w:name="_Toc258595212"/>
      <w:bookmarkStart w:id="10" w:name="_Toc257799727"/>
      <w:bookmarkStart w:id="11" w:name="_Toc373223050"/>
      <w:bookmarkStart w:id="12" w:name="_Toc255974604"/>
      <w:bookmarkStart w:id="13" w:name="_Toc374515869"/>
      <w:bookmarkStart w:id="14" w:name="_Toc258594148"/>
      <w:r>
        <w:rPr>
          <w:rFonts w:ascii="宋体" w:hAnsi="宋体" w:cs="宋体"/>
          <w:szCs w:val="21"/>
        </w:rPr>
        <w:t>1、</w:t>
      </w:r>
      <w:r>
        <w:rPr>
          <w:rFonts w:hint="eastAsia" w:ascii="宋体" w:hAnsi="宋体" w:cs="宋体"/>
          <w:szCs w:val="21"/>
        </w:rPr>
        <w:t>工艺大厦</w:t>
      </w:r>
      <w:r>
        <w:rPr>
          <w:rFonts w:ascii="宋体" w:hAnsi="宋体" w:cs="宋体"/>
          <w:szCs w:val="21"/>
        </w:rPr>
        <w:t>大楼 1、2、4、5、6、8、9、10、11 层公共区域及卫生间、四楼平台及第11 层露台、食堂、地下室</w:t>
      </w:r>
      <w:r>
        <w:rPr>
          <w:rFonts w:hint="eastAsia" w:ascii="宋体" w:hAnsi="宋体" w:cs="宋体"/>
          <w:szCs w:val="21"/>
        </w:rPr>
        <w:t>、自行车库</w:t>
      </w:r>
      <w:r>
        <w:rPr>
          <w:rFonts w:ascii="宋体" w:hAnsi="宋体" w:cs="宋体"/>
          <w:szCs w:val="21"/>
        </w:rPr>
        <w:t>公共区域总计约2500 平方米、7个办公室、五个会议室、两个直播室、二楼展厅、大师室、手工作坊，含普通客梯2部，货梯1部等清卫保洁工作</w:t>
      </w:r>
    </w:p>
    <w:p w14:paraId="399E5629">
      <w:pPr>
        <w:adjustRightInd w:val="0"/>
        <w:snapToGrid w:val="0"/>
        <w:spacing w:line="360" w:lineRule="auto"/>
        <w:ind w:firstLine="420" w:firstLineChars="200"/>
        <w:rPr>
          <w:rFonts w:hint="eastAsia" w:ascii="宋体" w:hAnsi="宋体" w:cs="宋体"/>
          <w:szCs w:val="21"/>
        </w:rPr>
      </w:pPr>
      <w:r>
        <w:rPr>
          <w:rFonts w:ascii="宋体" w:hAnsi="宋体" w:cs="宋体"/>
          <w:szCs w:val="21"/>
        </w:rPr>
        <w:t>2、</w:t>
      </w:r>
      <w:r>
        <w:rPr>
          <w:rFonts w:hint="eastAsia" w:ascii="宋体" w:hAnsi="宋体" w:cs="宋体"/>
          <w:szCs w:val="21"/>
        </w:rPr>
        <w:t>工艺大厦</w:t>
      </w:r>
      <w:r>
        <w:rPr>
          <w:rFonts w:ascii="宋体" w:hAnsi="宋体" w:cs="宋体"/>
          <w:szCs w:val="21"/>
        </w:rPr>
        <w:t>大楼车辆管理</w:t>
      </w:r>
    </w:p>
    <w:p w14:paraId="0A5C3E16">
      <w:pPr>
        <w:adjustRightInd w:val="0"/>
        <w:snapToGrid w:val="0"/>
        <w:spacing w:line="360" w:lineRule="auto"/>
        <w:ind w:firstLine="420" w:firstLineChars="200"/>
        <w:rPr>
          <w:rFonts w:hint="eastAsia" w:ascii="宋体" w:hAnsi="宋体" w:cs="宋体"/>
          <w:szCs w:val="21"/>
        </w:rPr>
      </w:pPr>
      <w:r>
        <w:rPr>
          <w:rFonts w:ascii="宋体" w:hAnsi="宋体" w:cs="宋体"/>
          <w:szCs w:val="21"/>
        </w:rPr>
        <w:t>3、蓝领公寓物业管理</w:t>
      </w:r>
      <w:r>
        <w:rPr>
          <w:rFonts w:hint="eastAsia" w:ascii="宋体" w:hAnsi="宋体" w:cs="宋体"/>
          <w:szCs w:val="21"/>
        </w:rPr>
        <w:t>，服务地点：秋涛北路190-2号。</w:t>
      </w:r>
    </w:p>
    <w:p w14:paraId="0FC687A5">
      <w:pPr>
        <w:snapToGrid w:val="0"/>
        <w:spacing w:line="360" w:lineRule="auto"/>
        <w:ind w:firstLine="422" w:firstLineChars="200"/>
        <w:rPr>
          <w:rFonts w:hint="eastAsia" w:ascii="宋体" w:hAnsi="宋体" w:cs="宋体"/>
          <w:b/>
          <w:szCs w:val="21"/>
        </w:rPr>
      </w:pPr>
      <w:r>
        <w:rPr>
          <w:rFonts w:hint="eastAsia" w:ascii="宋体" w:hAnsi="宋体" w:cs="宋体"/>
          <w:b/>
          <w:szCs w:val="21"/>
        </w:rPr>
        <w:t>三、服务要求</w:t>
      </w:r>
    </w:p>
    <w:p w14:paraId="4E4E7A84">
      <w:pPr>
        <w:snapToGrid w:val="0"/>
        <w:spacing w:line="360" w:lineRule="auto"/>
        <w:ind w:firstLine="420" w:firstLineChars="200"/>
        <w:rPr>
          <w:rFonts w:hint="eastAsia" w:ascii="宋体" w:hAnsi="宋体" w:cs="宋体"/>
          <w:bCs/>
          <w:szCs w:val="21"/>
        </w:rPr>
      </w:pPr>
      <w:r>
        <w:rPr>
          <w:rFonts w:hint="eastAsia" w:ascii="宋体" w:hAnsi="宋体" w:cs="宋体"/>
          <w:bCs/>
          <w:szCs w:val="21"/>
        </w:rPr>
        <w:t>（一）服务人员要求</w:t>
      </w:r>
      <w:bookmarkEnd w:id="8"/>
      <w:bookmarkEnd w:id="9"/>
      <w:bookmarkEnd w:id="10"/>
      <w:bookmarkEnd w:id="11"/>
      <w:bookmarkEnd w:id="12"/>
      <w:bookmarkEnd w:id="13"/>
      <w:bookmarkEnd w:id="14"/>
    </w:p>
    <w:p w14:paraId="33BEEEEC">
      <w:pPr>
        <w:adjustRightInd w:val="0"/>
        <w:snapToGrid w:val="0"/>
        <w:spacing w:line="360" w:lineRule="auto"/>
        <w:ind w:firstLine="420" w:firstLineChars="200"/>
        <w:rPr>
          <w:rFonts w:hint="eastAsia" w:ascii="宋体" w:hAnsi="宋体" w:cs="宋体"/>
          <w:szCs w:val="21"/>
        </w:rPr>
      </w:pPr>
      <w:r>
        <w:rPr>
          <w:rFonts w:hint="eastAsia" w:ascii="仿宋" w:hAnsi="仿宋" w:eastAsia="仿宋" w:cs="仿宋"/>
          <w:szCs w:val="21"/>
        </w:rPr>
        <w:t>▲</w:t>
      </w:r>
      <w:r>
        <w:rPr>
          <w:rFonts w:hint="eastAsia" w:ascii="宋体" w:hAnsi="宋体" w:cs="宋体"/>
          <w:szCs w:val="21"/>
        </w:rPr>
        <w:t>1、服务期内至少配备保洁员3名、车辆管理员1名、蓝领公寓管理人员1名。</w:t>
      </w:r>
    </w:p>
    <w:p w14:paraId="3EE0ACD3">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2、服务人员具备一定的身体素质，品行端正，工作负责，踏实肯干、服从分配，会说普通话。</w:t>
      </w:r>
    </w:p>
    <w:p w14:paraId="4C52F35E">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（二）清卫保洁服务要求：</w:t>
      </w:r>
    </w:p>
    <w:p w14:paraId="254F3963">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1、必须每天例行检查，做好工作台帐。</w:t>
      </w:r>
    </w:p>
    <w:p w14:paraId="6B595571">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2、主要出入口、大厅、公共洗手间及其他公共区域等必须在当天早上 8点半前清扫干净，每天全面清扫 1次并巡回保洁。全天候保洁（原则上不少于8小时），日常巡回保洁频率为2小时 1次。</w:t>
      </w:r>
    </w:p>
    <w:p w14:paraId="5D2FBF05">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3、公共洗手间及时冲洗、补充耗材，无蛛网、积灰、虫尸、蝇蛆，无臭气，便池无污垢，窗帘无积灰，公厕内外无张贴物、杂物。</w:t>
      </w:r>
    </w:p>
    <w:p w14:paraId="0BBFFD1C">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4、绿地内无拉圾、堆积物小于 6cm树枝、枯枝，无卫生死角，绿化植物上落叶、蛛网及悬挂物应及时清理。</w:t>
      </w:r>
    </w:p>
    <w:p w14:paraId="5F5DC9ED">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5、垃圾房（桶）要及时保洁，安排专人管理，定期日产日清，内外壁无明显污垢，垃圾桶摆放整齐，无残缺、破损，垃圾清运后应及时打扫并关闭垃圾房。</w:t>
      </w:r>
    </w:p>
    <w:p w14:paraId="2C187020">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6、建筑物、构筑物上无积尘，无污泥，无蛛网虫尸、张贴、杂物，无屋面草，陈设擦洗及时。</w:t>
      </w:r>
    </w:p>
    <w:p w14:paraId="40924C19">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7、路面全日保洁，随脏随扫，无淤泥、积水。</w:t>
      </w:r>
    </w:p>
    <w:p w14:paraId="477E3811">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8、保洁人员工作期间应统一着装，服装整洁，礼貌待人；上班时间严禁喝酒、打瞌睡，不可捡可乐瓶等可回收垃圾，做与工作无关的事。</w:t>
      </w:r>
    </w:p>
    <w:p w14:paraId="5039CDF9">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9、遇大雪冰冻天气，应及时清扫路面积雪，铲除冰冻，确保道路安全畅通。</w:t>
      </w:r>
    </w:p>
    <w:p w14:paraId="549FB594">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10、如遇清卫保洁内容范围内的其他清卫保洁任务，应积极响应，及时安排人员处理。</w:t>
      </w:r>
    </w:p>
    <w:p w14:paraId="0E05CCBB">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（三）车辆管理服务要求：</w:t>
      </w:r>
    </w:p>
    <w:p w14:paraId="0F8BCCDF">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1、做好大楼地下车位及地面车位的管理工作。</w:t>
      </w:r>
    </w:p>
    <w:p w14:paraId="013F3D90">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2、做好大楼自行车库的管理工作。</w:t>
      </w:r>
    </w:p>
    <w:p w14:paraId="722979C7">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（四）蓝领公寓管理服务要求：</w:t>
      </w:r>
    </w:p>
    <w:p w14:paraId="3C31B78A">
      <w:pPr>
        <w:snapToGrid w:val="0"/>
        <w:spacing w:line="360" w:lineRule="auto"/>
        <w:ind w:firstLine="420" w:firstLineChars="200"/>
        <w:rPr>
          <w:rFonts w:hint="eastAsia" w:ascii="宋体" w:hAnsi="宋体" w:cs="宋体"/>
          <w:szCs w:val="21"/>
        </w:rPr>
      </w:pPr>
      <w:r>
        <w:rPr>
          <w:rFonts w:ascii="宋体" w:hAnsi="宋体" w:cs="宋体"/>
          <w:szCs w:val="21"/>
        </w:rPr>
        <w:t>1</w:t>
      </w:r>
      <w:r>
        <w:rPr>
          <w:rFonts w:hint="eastAsia" w:ascii="宋体" w:hAnsi="宋体" w:cs="宋体"/>
          <w:szCs w:val="21"/>
        </w:rPr>
        <w:t>、做好所辖公寓楼的日常管理工作，认真执行蓝领公寓管理的各项规章制度。</w:t>
      </w:r>
    </w:p>
    <w:p w14:paraId="5A5AEBE5">
      <w:pPr>
        <w:snapToGrid w:val="0"/>
        <w:spacing w:line="360" w:lineRule="auto"/>
        <w:ind w:firstLine="420" w:firstLineChars="200"/>
        <w:rPr>
          <w:rFonts w:hint="eastAsia" w:ascii="宋体" w:hAnsi="宋体" w:cs="宋体"/>
          <w:szCs w:val="21"/>
        </w:rPr>
      </w:pPr>
      <w:r>
        <w:rPr>
          <w:rFonts w:ascii="宋体" w:hAnsi="宋体" w:cs="宋体"/>
          <w:szCs w:val="21"/>
        </w:rPr>
        <w:t>2</w:t>
      </w:r>
      <w:r>
        <w:rPr>
          <w:rFonts w:hint="eastAsia" w:ascii="宋体" w:hAnsi="宋体" w:cs="宋体"/>
          <w:szCs w:val="21"/>
        </w:rPr>
        <w:t>、时刻树立安全意识，做好防火、防盗、防破坏、防自然灾害等工作，巡视公寓安全情况，发现火情、隐患等异常情况，应及时上报。</w:t>
      </w:r>
    </w:p>
    <w:p w14:paraId="6D1883F5">
      <w:pPr>
        <w:snapToGrid w:val="0"/>
        <w:spacing w:line="360" w:lineRule="auto"/>
        <w:ind w:firstLine="420" w:firstLineChars="200"/>
        <w:rPr>
          <w:rFonts w:hint="eastAsia" w:ascii="宋体" w:hAnsi="宋体" w:cs="宋体"/>
          <w:szCs w:val="21"/>
        </w:rPr>
      </w:pPr>
      <w:r>
        <w:rPr>
          <w:rFonts w:ascii="宋体" w:hAnsi="宋体" w:cs="宋体"/>
          <w:szCs w:val="21"/>
        </w:rPr>
        <w:t>3</w:t>
      </w:r>
      <w:r>
        <w:rPr>
          <w:rFonts w:hint="eastAsia" w:ascii="宋体" w:hAnsi="宋体" w:cs="宋体"/>
          <w:szCs w:val="21"/>
        </w:rPr>
        <w:t>、做好公寓门卫的24小时值班，不擅离职守，做好公寓应急备用钥匙管理。</w:t>
      </w:r>
    </w:p>
    <w:p w14:paraId="608B510D">
      <w:pPr>
        <w:snapToGrid w:val="0"/>
        <w:spacing w:line="360" w:lineRule="auto"/>
        <w:ind w:firstLine="420" w:firstLineChars="200"/>
        <w:rPr>
          <w:rFonts w:hint="eastAsia" w:ascii="宋体" w:hAnsi="宋体" w:cs="宋体"/>
          <w:szCs w:val="21"/>
        </w:rPr>
      </w:pPr>
      <w:r>
        <w:rPr>
          <w:rFonts w:ascii="宋体" w:hAnsi="宋体" w:cs="宋体"/>
          <w:szCs w:val="21"/>
        </w:rPr>
        <w:t>4</w:t>
      </w:r>
      <w:r>
        <w:rPr>
          <w:rFonts w:hint="eastAsia" w:ascii="宋体" w:hAnsi="宋体" w:cs="宋体"/>
          <w:szCs w:val="21"/>
        </w:rPr>
        <w:t>、做好非本楼住户人员的出入登记及有关记录。</w:t>
      </w:r>
    </w:p>
    <w:p w14:paraId="5BB15416">
      <w:pPr>
        <w:snapToGrid w:val="0"/>
        <w:spacing w:line="360" w:lineRule="auto"/>
        <w:ind w:firstLine="420" w:firstLineChars="200"/>
        <w:rPr>
          <w:rFonts w:hint="eastAsia" w:ascii="宋体" w:hAnsi="宋体" w:cs="宋体"/>
          <w:szCs w:val="21"/>
        </w:rPr>
      </w:pPr>
      <w:r>
        <w:rPr>
          <w:rFonts w:ascii="宋体" w:hAnsi="宋体" w:cs="宋体"/>
          <w:szCs w:val="21"/>
        </w:rPr>
        <w:t>5</w:t>
      </w:r>
      <w:r>
        <w:rPr>
          <w:rFonts w:hint="eastAsia" w:ascii="宋体" w:hAnsi="宋体" w:cs="宋体"/>
          <w:szCs w:val="21"/>
        </w:rPr>
        <w:t>、做好行李物品带出的验证，使（租）用人不能将公寓财产带出楼外。</w:t>
      </w:r>
    </w:p>
    <w:p w14:paraId="3CF3AD34">
      <w:pPr>
        <w:snapToGrid w:val="0"/>
        <w:spacing w:line="360" w:lineRule="auto"/>
        <w:ind w:firstLine="420" w:firstLineChars="200"/>
        <w:rPr>
          <w:rFonts w:hint="eastAsia" w:ascii="宋体" w:hAnsi="宋体" w:cs="宋体"/>
          <w:szCs w:val="21"/>
        </w:rPr>
      </w:pPr>
      <w:r>
        <w:rPr>
          <w:rFonts w:ascii="宋体" w:hAnsi="宋体" w:cs="宋体"/>
          <w:szCs w:val="21"/>
        </w:rPr>
        <w:t>6</w:t>
      </w:r>
      <w:r>
        <w:rPr>
          <w:rFonts w:hint="eastAsia" w:ascii="宋体" w:hAnsi="宋体" w:cs="宋体"/>
          <w:szCs w:val="21"/>
        </w:rPr>
        <w:t>、遇有突发事件应及时协助人员疏散，熟练操作消防器材，熟悉报警程序。</w:t>
      </w:r>
    </w:p>
    <w:p w14:paraId="6B487C3B">
      <w:pPr>
        <w:snapToGrid w:val="0"/>
        <w:spacing w:line="360" w:lineRule="auto"/>
        <w:ind w:firstLine="420" w:firstLineChars="200"/>
        <w:rPr>
          <w:rFonts w:hint="eastAsia" w:ascii="宋体" w:hAnsi="宋体" w:cs="宋体"/>
          <w:szCs w:val="21"/>
        </w:rPr>
      </w:pPr>
      <w:r>
        <w:rPr>
          <w:rFonts w:ascii="宋体" w:hAnsi="宋体" w:cs="宋体"/>
          <w:szCs w:val="21"/>
        </w:rPr>
        <w:t>7</w:t>
      </w:r>
      <w:r>
        <w:rPr>
          <w:rFonts w:hint="eastAsia" w:ascii="宋体" w:hAnsi="宋体" w:cs="宋体"/>
          <w:szCs w:val="21"/>
        </w:rPr>
        <w:t>、做好公寓内消防器材检查，保证完整好用，每月及时登记检查记录卡。</w:t>
      </w:r>
    </w:p>
    <w:p w14:paraId="56D2C331">
      <w:pPr>
        <w:snapToGrid w:val="0"/>
        <w:spacing w:line="360" w:lineRule="auto"/>
        <w:ind w:firstLine="420" w:firstLineChars="200"/>
        <w:rPr>
          <w:rFonts w:hint="eastAsia" w:ascii="宋体" w:hAnsi="宋体" w:cs="宋体"/>
          <w:szCs w:val="21"/>
        </w:rPr>
      </w:pPr>
      <w:r>
        <w:rPr>
          <w:rFonts w:ascii="宋体" w:hAnsi="宋体" w:cs="宋体"/>
          <w:szCs w:val="21"/>
        </w:rPr>
        <w:t>8</w:t>
      </w:r>
      <w:r>
        <w:rPr>
          <w:rFonts w:hint="eastAsia" w:ascii="宋体" w:hAnsi="宋体" w:cs="宋体"/>
          <w:szCs w:val="21"/>
        </w:rPr>
        <w:t>、做好值班室、公共区域和公寓内楼道、通道的卫生清洁工作。</w:t>
      </w:r>
    </w:p>
    <w:p w14:paraId="6E970E08">
      <w:pPr>
        <w:snapToGrid w:val="0"/>
        <w:spacing w:line="360" w:lineRule="auto"/>
        <w:ind w:firstLine="420" w:firstLineChars="200"/>
        <w:rPr>
          <w:rFonts w:hint="eastAsia" w:ascii="宋体" w:hAnsi="宋体" w:cs="宋体"/>
          <w:szCs w:val="21"/>
        </w:rPr>
      </w:pPr>
      <w:r>
        <w:rPr>
          <w:rFonts w:ascii="宋体" w:hAnsi="宋体" w:cs="宋体"/>
          <w:szCs w:val="21"/>
        </w:rPr>
        <w:t>9</w:t>
      </w:r>
      <w:r>
        <w:rPr>
          <w:rFonts w:hint="eastAsia" w:ascii="宋体" w:hAnsi="宋体" w:cs="宋体"/>
          <w:szCs w:val="21"/>
        </w:rPr>
        <w:t>、保持楼道、通道、大门的道路畅通，维护公寓正常秩序。</w:t>
      </w:r>
    </w:p>
    <w:p w14:paraId="340243F1">
      <w:pPr>
        <w:snapToGrid w:val="0"/>
        <w:spacing w:line="360" w:lineRule="auto"/>
        <w:ind w:firstLine="420" w:firstLineChars="200"/>
        <w:rPr>
          <w:rFonts w:hint="eastAsia" w:ascii="宋体" w:hAnsi="宋体" w:cs="宋体"/>
          <w:szCs w:val="21"/>
        </w:rPr>
      </w:pPr>
      <w:r>
        <w:rPr>
          <w:rFonts w:ascii="宋体" w:hAnsi="宋体" w:cs="宋体"/>
          <w:szCs w:val="21"/>
        </w:rPr>
        <w:t>10</w:t>
      </w:r>
      <w:r>
        <w:rPr>
          <w:rFonts w:hint="eastAsia" w:ascii="宋体" w:hAnsi="宋体" w:cs="宋体"/>
          <w:szCs w:val="21"/>
        </w:rPr>
        <w:t>、做好蓝领公寓设备报修和复核。</w:t>
      </w:r>
    </w:p>
    <w:p w14:paraId="55F531EB">
      <w:pPr>
        <w:snapToGrid w:val="0"/>
        <w:spacing w:line="360" w:lineRule="auto"/>
        <w:ind w:firstLine="420" w:firstLineChars="200"/>
        <w:rPr>
          <w:rFonts w:hint="eastAsia" w:ascii="宋体" w:hAnsi="宋体" w:cs="宋体"/>
          <w:szCs w:val="21"/>
        </w:rPr>
      </w:pPr>
      <w:r>
        <w:rPr>
          <w:rFonts w:ascii="宋体" w:hAnsi="宋体" w:cs="宋体"/>
          <w:szCs w:val="21"/>
        </w:rPr>
        <w:t>11</w:t>
      </w:r>
      <w:r>
        <w:rPr>
          <w:rFonts w:hint="eastAsia" w:ascii="宋体" w:hAnsi="宋体" w:cs="宋体"/>
          <w:szCs w:val="21"/>
        </w:rPr>
        <w:t>、管理好自行车、电瓶车等车辆按指定位置有序停放。</w:t>
      </w:r>
    </w:p>
    <w:p w14:paraId="3A88D525">
      <w:pPr>
        <w:pStyle w:val="19"/>
        <w:ind w:firstLine="420" w:firstLineChars="200"/>
      </w:pPr>
      <w:r>
        <w:rPr>
          <w:rFonts w:ascii="宋体" w:hAnsi="宋体" w:cs="宋体"/>
          <w:szCs w:val="21"/>
        </w:rPr>
        <w:t>12</w:t>
      </w:r>
      <w:r>
        <w:rPr>
          <w:rFonts w:hint="eastAsia" w:ascii="宋体" w:hAnsi="宋体" w:cs="宋体"/>
          <w:szCs w:val="21"/>
        </w:rPr>
        <w:t>、亚朵、如家酒店的日常安全巡检工作，督促落实隐患整改。</w:t>
      </w:r>
    </w:p>
    <w:p w14:paraId="2E65BEF0">
      <w:pPr>
        <w:adjustRightInd w:val="0"/>
        <w:snapToGrid w:val="0"/>
        <w:spacing w:line="360" w:lineRule="auto"/>
        <w:ind w:firstLine="422" w:firstLineChars="200"/>
        <w:rPr>
          <w:rFonts w:hint="eastAsia" w:ascii="宋体" w:hAnsi="宋体" w:cs="宋体"/>
          <w:b/>
          <w:bCs/>
          <w:szCs w:val="21"/>
        </w:rPr>
      </w:pPr>
      <w:r>
        <w:rPr>
          <w:rFonts w:hint="eastAsia" w:ascii="宋体" w:hAnsi="宋体" w:cs="宋体"/>
          <w:b/>
          <w:bCs/>
          <w:szCs w:val="21"/>
        </w:rPr>
        <w:t>四、付款方式</w:t>
      </w:r>
    </w:p>
    <w:p w14:paraId="105AD681">
      <w:pPr>
        <w:snapToGrid w:val="0"/>
        <w:spacing w:line="360" w:lineRule="auto"/>
        <w:ind w:firstLine="420" w:firstLineChars="200"/>
        <w:rPr>
          <w:rFonts w:hint="eastAsia" w:ascii="宋体" w:hAnsi="宋体" w:cs="宋体"/>
          <w:szCs w:val="21"/>
        </w:rPr>
      </w:pPr>
      <w:r>
        <w:rPr>
          <w:rFonts w:hint="eastAsia" w:ascii="宋体" w:hAnsi="宋体" w:cs="宋体"/>
          <w:szCs w:val="21"/>
        </w:rPr>
        <w:t>最终付款方式：服务费每月结算一次，先服务后付费，每月收到发票后</w:t>
      </w:r>
      <w:r>
        <w:rPr>
          <w:rFonts w:ascii="宋体" w:hAnsi="宋体" w:cs="宋体"/>
          <w:szCs w:val="21"/>
        </w:rPr>
        <w:t>7</w:t>
      </w:r>
      <w:r>
        <w:rPr>
          <w:rFonts w:hint="eastAsia" w:ascii="宋体" w:hAnsi="宋体" w:cs="宋体"/>
          <w:szCs w:val="21"/>
        </w:rPr>
        <w:t>天内付款。</w:t>
      </w:r>
    </w:p>
    <w:p w14:paraId="07E3DA20">
      <w:pPr>
        <w:adjustRightInd w:val="0"/>
        <w:snapToGrid w:val="0"/>
        <w:spacing w:line="360" w:lineRule="auto"/>
        <w:ind w:firstLine="422" w:firstLineChars="200"/>
        <w:rPr>
          <w:rFonts w:hint="eastAsia" w:ascii="宋体" w:hAnsi="宋体" w:cs="宋体"/>
          <w:b/>
          <w:bCs/>
          <w:szCs w:val="21"/>
        </w:rPr>
      </w:pPr>
      <w:r>
        <w:rPr>
          <w:rFonts w:hint="eastAsia" w:ascii="宋体" w:hAnsi="宋体" w:cs="宋体"/>
          <w:b/>
          <w:bCs/>
          <w:szCs w:val="21"/>
        </w:rPr>
        <w:t>五、服务期限</w:t>
      </w:r>
    </w:p>
    <w:p w14:paraId="4B33A723">
      <w:pPr>
        <w:autoSpaceDE w:val="0"/>
        <w:autoSpaceDN w:val="0"/>
        <w:adjustRightInd w:val="0"/>
        <w:spacing w:line="360" w:lineRule="auto"/>
        <w:ind w:firstLine="420" w:firstLineChars="200"/>
        <w:rPr>
          <w:rFonts w:hint="eastAsia" w:ascii="宋体" w:hAnsi="宋体" w:cs="宋体"/>
          <w:szCs w:val="21"/>
          <w:highlight w:val="yellow"/>
        </w:rPr>
      </w:pPr>
      <w:r>
        <w:rPr>
          <w:rFonts w:hint="eastAsia" w:ascii="宋体" w:hAnsi="宋体" w:cs="宋体"/>
          <w:szCs w:val="21"/>
          <w:highlight w:val="yellow"/>
        </w:rPr>
        <w:t>从合同签订之日起两年，</w:t>
      </w:r>
      <w:r>
        <w:rPr>
          <w:rFonts w:hint="eastAsia" w:ascii="宋体" w:hAnsi="宋体" w:cs="宋体"/>
          <w:szCs w:val="21"/>
          <w:highlight w:val="yellow"/>
          <w:lang w:val="en-US" w:eastAsia="zh-CN"/>
        </w:rPr>
        <w:t>招标方有正当理由可随时提出终止合同</w:t>
      </w:r>
      <w:r>
        <w:rPr>
          <w:rFonts w:hint="eastAsia" w:ascii="宋体" w:hAnsi="宋体" w:cs="宋体"/>
          <w:szCs w:val="21"/>
          <w:highlight w:val="yellow"/>
        </w:rPr>
        <w:t>。</w:t>
      </w:r>
    </w:p>
    <w:p w14:paraId="179FB552">
      <w:pPr>
        <w:pStyle w:val="3"/>
        <w:rPr>
          <w:rFonts w:hint="eastAsia" w:ascii="宋体" w:hAnsi="宋体" w:cs="宋体"/>
          <w:color w:val="auto"/>
        </w:rPr>
      </w:pPr>
      <w:r>
        <w:rPr>
          <w:rFonts w:hint="eastAsia" w:ascii="宋体" w:hAnsi="宋体" w:cs="宋体"/>
          <w:color w:val="auto"/>
        </w:rPr>
        <w:br w:type="page"/>
      </w:r>
      <w:bookmarkStart w:id="15" w:name="_Toc13795"/>
      <w:r>
        <w:rPr>
          <w:rFonts w:hint="eastAsia" w:ascii="宋体" w:hAnsi="宋体" w:cs="宋体"/>
          <w:color w:val="auto"/>
        </w:rPr>
        <w:t>第四章  评审</w:t>
      </w:r>
      <w:r>
        <w:rPr>
          <w:rFonts w:hint="eastAsia" w:ascii="宋体" w:hAnsi="宋体" w:cs="宋体"/>
          <w:bCs/>
          <w:color w:val="auto"/>
        </w:rPr>
        <w:t>办法</w:t>
      </w:r>
      <w:bookmarkEnd w:id="15"/>
    </w:p>
    <w:p w14:paraId="64FBC8D4">
      <w:pPr>
        <w:adjustRightInd w:val="0"/>
        <w:snapToGrid w:val="0"/>
        <w:spacing w:line="360" w:lineRule="auto"/>
        <w:ind w:firstLine="420" w:firstLineChars="200"/>
        <w:rPr>
          <w:rFonts w:hint="eastAsia" w:ascii="宋体" w:hAnsi="宋体" w:cs="宋体"/>
        </w:rPr>
      </w:pPr>
      <w:r>
        <w:rPr>
          <w:rFonts w:hint="eastAsia" w:ascii="宋体" w:hAnsi="宋体" w:cs="宋体"/>
        </w:rPr>
        <w:t>本评审办法参考相关法律法规的规定，并结合本项目的具体情况制定。</w:t>
      </w:r>
    </w:p>
    <w:p w14:paraId="2A545624">
      <w:pPr>
        <w:adjustRightInd w:val="0"/>
        <w:snapToGrid w:val="0"/>
        <w:spacing w:line="360" w:lineRule="auto"/>
        <w:ind w:firstLine="422" w:firstLineChars="200"/>
        <w:rPr>
          <w:rFonts w:hint="eastAsia" w:ascii="宋体" w:hAnsi="宋体" w:cs="宋体"/>
          <w:b/>
          <w:bCs/>
        </w:rPr>
      </w:pPr>
      <w:r>
        <w:rPr>
          <w:rFonts w:hint="eastAsia" w:ascii="宋体" w:hAnsi="宋体" w:cs="宋体"/>
          <w:b/>
          <w:bCs/>
        </w:rPr>
        <w:t>一、总则</w:t>
      </w:r>
    </w:p>
    <w:p w14:paraId="007976DA">
      <w:pPr>
        <w:snapToGrid w:val="0"/>
        <w:spacing w:line="360" w:lineRule="auto"/>
        <w:ind w:firstLine="420" w:firstLineChars="200"/>
        <w:rPr>
          <w:rFonts w:hint="eastAsia" w:ascii="宋体" w:hAnsi="宋体" w:cs="宋体"/>
        </w:rPr>
      </w:pPr>
      <w:r>
        <w:rPr>
          <w:rFonts w:hint="eastAsia" w:ascii="宋体" w:hAnsi="宋体" w:cs="宋体"/>
        </w:rPr>
        <w:t>评审小组成员应当按照客观、公正、审慎的原则，根据招标文件规定的评审程序、评审方法和评审标准进行独立评审。</w:t>
      </w:r>
    </w:p>
    <w:p w14:paraId="4ED13F85">
      <w:pPr>
        <w:adjustRightInd w:val="0"/>
        <w:snapToGrid w:val="0"/>
        <w:spacing w:line="360" w:lineRule="auto"/>
        <w:ind w:firstLine="422" w:firstLineChars="200"/>
        <w:rPr>
          <w:rFonts w:hint="eastAsia" w:ascii="宋体" w:hAnsi="宋体" w:cs="宋体"/>
          <w:b/>
          <w:bCs/>
        </w:rPr>
      </w:pPr>
      <w:r>
        <w:rPr>
          <w:rFonts w:hint="eastAsia" w:ascii="宋体" w:hAnsi="宋体" w:cs="宋体"/>
          <w:b/>
          <w:bCs/>
        </w:rPr>
        <w:t>二、评审组织</w:t>
      </w:r>
    </w:p>
    <w:p w14:paraId="4C7E9F3E">
      <w:pPr>
        <w:snapToGrid w:val="0"/>
        <w:spacing w:line="360" w:lineRule="auto"/>
        <w:ind w:firstLine="420" w:firstLineChars="200"/>
        <w:rPr>
          <w:rFonts w:hint="eastAsia" w:ascii="宋体" w:hAnsi="宋体" w:cs="宋体"/>
        </w:rPr>
      </w:pPr>
      <w:r>
        <w:rPr>
          <w:rFonts w:hint="eastAsia" w:ascii="宋体" w:hAnsi="宋体" w:cs="宋体"/>
        </w:rPr>
        <w:t>评审工作由采购人熟悉相关业务的代表，以及采购人委托的招标代理机构抽取有关方面的专家组建的评审小组负责，成员总数为5人。评审小组负责审查、澄清、评审等工作，并向采购人提出评审意见和评审报告。</w:t>
      </w:r>
    </w:p>
    <w:p w14:paraId="30AFEF3B">
      <w:pPr>
        <w:tabs>
          <w:tab w:val="left" w:pos="3219"/>
        </w:tabs>
        <w:adjustRightInd w:val="0"/>
        <w:snapToGrid w:val="0"/>
        <w:spacing w:line="360" w:lineRule="auto"/>
        <w:ind w:firstLine="422" w:firstLineChars="200"/>
        <w:rPr>
          <w:rFonts w:hint="eastAsia" w:ascii="宋体" w:hAnsi="宋体" w:cs="宋体"/>
          <w:b/>
          <w:bCs/>
        </w:rPr>
      </w:pPr>
      <w:r>
        <w:rPr>
          <w:rFonts w:hint="eastAsia" w:ascii="宋体" w:hAnsi="宋体" w:cs="宋体"/>
          <w:b/>
          <w:bCs/>
        </w:rPr>
        <w:t>三、评审程序</w:t>
      </w:r>
    </w:p>
    <w:p w14:paraId="68797EE0">
      <w:pPr>
        <w:snapToGrid w:val="0"/>
        <w:spacing w:line="360" w:lineRule="auto"/>
        <w:ind w:firstLine="420" w:firstLineChars="200"/>
        <w:rPr>
          <w:rFonts w:hint="eastAsia" w:ascii="宋体" w:hAnsi="宋体" w:cs="宋体"/>
        </w:rPr>
      </w:pPr>
      <w:r>
        <w:rPr>
          <w:rFonts w:hint="eastAsia" w:ascii="宋体" w:hAnsi="宋体" w:cs="宋体"/>
        </w:rPr>
        <w:t>评审程序如下：</w:t>
      </w:r>
    </w:p>
    <w:p w14:paraId="18054C6A">
      <w:pPr>
        <w:tabs>
          <w:tab w:val="left" w:pos="3219"/>
        </w:tabs>
        <w:adjustRightInd w:val="0"/>
        <w:snapToGrid w:val="0"/>
        <w:spacing w:line="360" w:lineRule="auto"/>
        <w:ind w:firstLine="420" w:firstLineChars="200"/>
        <w:rPr>
          <w:rFonts w:hint="eastAsia" w:ascii="宋体" w:hAnsi="宋体" w:cs="宋体"/>
        </w:rPr>
      </w:pPr>
      <w:r>
        <w:rPr>
          <w:rFonts w:hint="eastAsia" w:ascii="宋体" w:hAnsi="宋体" w:cs="宋体"/>
        </w:rPr>
        <w:t>1.资格审查。评标委员会根据招标文件评审原则和评审办法对投标单位进行资格审查。</w:t>
      </w:r>
    </w:p>
    <w:p w14:paraId="1E514DB6">
      <w:pPr>
        <w:tabs>
          <w:tab w:val="left" w:pos="3219"/>
        </w:tabs>
        <w:adjustRightInd w:val="0"/>
        <w:snapToGrid w:val="0"/>
        <w:spacing w:line="360" w:lineRule="auto"/>
        <w:ind w:firstLine="420" w:firstLineChars="200"/>
        <w:rPr>
          <w:rFonts w:hint="eastAsia" w:ascii="宋体" w:hAnsi="宋体" w:cs="宋体"/>
        </w:rPr>
      </w:pPr>
      <w:r>
        <w:rPr>
          <w:rFonts w:hint="eastAsia" w:ascii="宋体" w:hAnsi="宋体" w:cs="宋体"/>
        </w:rPr>
        <w:t>2.符合性审查。评标委员会应当对符合资格的投标人的投标文件进行符合性审查，以确定其是否满足招标文件的实质性要求。不满足招标文件的实质性要求的，投标无效。</w:t>
      </w:r>
    </w:p>
    <w:p w14:paraId="301EF25F">
      <w:pPr>
        <w:tabs>
          <w:tab w:val="left" w:pos="3219"/>
        </w:tabs>
        <w:adjustRightInd w:val="0"/>
        <w:snapToGrid w:val="0"/>
        <w:spacing w:line="360" w:lineRule="auto"/>
        <w:ind w:firstLine="420" w:firstLineChars="200"/>
        <w:rPr>
          <w:rFonts w:hint="eastAsia" w:ascii="宋体" w:hAnsi="宋体" w:cs="宋体"/>
          <w:lang w:val="zh-CN"/>
        </w:rPr>
      </w:pPr>
      <w:r>
        <w:rPr>
          <w:rFonts w:hint="eastAsia" w:ascii="宋体" w:hAnsi="宋体" w:cs="宋体"/>
        </w:rPr>
        <w:t>3.汇总商务技术得分。评标委员会应当按照招标文件中规定的评标方法和标准，对资格审查、符合性审查合格的投标文件进行商务和技术评估，评标委员会各成员应当独立对每个投标人的商务和技术文件进行评价，并汇总商务技术得分情况。</w:t>
      </w:r>
    </w:p>
    <w:p w14:paraId="2E44E348">
      <w:pPr>
        <w:tabs>
          <w:tab w:val="left" w:pos="3219"/>
        </w:tabs>
        <w:adjustRightInd w:val="0"/>
        <w:snapToGrid w:val="0"/>
        <w:spacing w:line="360" w:lineRule="auto"/>
        <w:ind w:firstLine="420" w:firstLineChars="200"/>
        <w:rPr>
          <w:rFonts w:hint="eastAsia" w:ascii="宋体" w:hAnsi="宋体" w:cs="宋体"/>
        </w:rPr>
      </w:pPr>
      <w:r>
        <w:rPr>
          <w:rFonts w:hint="eastAsia" w:ascii="宋体" w:hAnsi="宋体" w:cs="宋体"/>
        </w:rPr>
        <w:t>4.报价评审。</w:t>
      </w:r>
    </w:p>
    <w:p w14:paraId="23D0008C">
      <w:pPr>
        <w:tabs>
          <w:tab w:val="left" w:pos="3219"/>
        </w:tabs>
        <w:adjustRightInd w:val="0"/>
        <w:snapToGrid w:val="0"/>
        <w:spacing w:line="360" w:lineRule="auto"/>
        <w:ind w:firstLine="420" w:firstLineChars="200"/>
        <w:rPr>
          <w:rFonts w:hint="eastAsia" w:ascii="宋体" w:hAnsi="宋体" w:cs="宋体"/>
        </w:rPr>
      </w:pPr>
      <w:r>
        <w:rPr>
          <w:rFonts w:hint="eastAsia" w:ascii="宋体" w:hAnsi="宋体" w:cs="宋体"/>
        </w:rPr>
        <w:t>4.1投标文件报价出现前后不一致的，按照下列规定修正：</w:t>
      </w:r>
    </w:p>
    <w:p w14:paraId="7DB1C7F5">
      <w:pPr>
        <w:tabs>
          <w:tab w:val="left" w:pos="3219"/>
        </w:tabs>
        <w:adjustRightInd w:val="0"/>
        <w:snapToGrid w:val="0"/>
        <w:spacing w:line="360" w:lineRule="auto"/>
        <w:ind w:firstLine="420" w:firstLineChars="200"/>
        <w:rPr>
          <w:rFonts w:hint="eastAsia" w:ascii="宋体" w:hAnsi="宋体" w:cs="宋体"/>
        </w:rPr>
      </w:pPr>
      <w:r>
        <w:rPr>
          <w:rFonts w:hint="eastAsia" w:ascii="宋体" w:hAnsi="宋体" w:cs="宋体"/>
        </w:rPr>
        <w:t>4.1.1投标文件中开标一览表(报价表)内容与投标文件中相应内容不一致的，以开标一览表(报价表)为准;</w:t>
      </w:r>
    </w:p>
    <w:p w14:paraId="2850FEB0">
      <w:pPr>
        <w:tabs>
          <w:tab w:val="left" w:pos="3219"/>
        </w:tabs>
        <w:adjustRightInd w:val="0"/>
        <w:snapToGrid w:val="0"/>
        <w:spacing w:line="360" w:lineRule="auto"/>
        <w:ind w:firstLine="420" w:firstLineChars="200"/>
        <w:rPr>
          <w:rFonts w:hint="eastAsia" w:ascii="宋体" w:hAnsi="宋体" w:cs="宋体"/>
        </w:rPr>
      </w:pPr>
      <w:r>
        <w:rPr>
          <w:rFonts w:hint="eastAsia" w:ascii="宋体" w:hAnsi="宋体" w:cs="宋体"/>
        </w:rPr>
        <w:t>4.1.2大写金额和小写金额不一致的，以大写金额为准;</w:t>
      </w:r>
    </w:p>
    <w:p w14:paraId="46476301">
      <w:pPr>
        <w:tabs>
          <w:tab w:val="left" w:pos="3219"/>
        </w:tabs>
        <w:adjustRightInd w:val="0"/>
        <w:snapToGrid w:val="0"/>
        <w:spacing w:line="360" w:lineRule="auto"/>
        <w:ind w:firstLine="420" w:firstLineChars="200"/>
        <w:rPr>
          <w:rFonts w:hint="eastAsia" w:ascii="宋体" w:hAnsi="宋体" w:cs="宋体"/>
        </w:rPr>
      </w:pPr>
      <w:r>
        <w:rPr>
          <w:rFonts w:hint="eastAsia" w:ascii="宋体" w:hAnsi="宋体" w:cs="宋体"/>
        </w:rPr>
        <w:t>4.1.3单价金额小数点或者百分比有明显错位的，以开标一览表的总价为准，并修改单价;</w:t>
      </w:r>
    </w:p>
    <w:p w14:paraId="3BADF8A0">
      <w:pPr>
        <w:tabs>
          <w:tab w:val="left" w:pos="3219"/>
        </w:tabs>
        <w:adjustRightInd w:val="0"/>
        <w:snapToGrid w:val="0"/>
        <w:spacing w:line="360" w:lineRule="auto"/>
        <w:ind w:firstLine="420" w:firstLineChars="200"/>
        <w:rPr>
          <w:rFonts w:hint="eastAsia" w:ascii="宋体" w:hAnsi="宋体" w:cs="宋体"/>
        </w:rPr>
      </w:pPr>
      <w:r>
        <w:rPr>
          <w:rFonts w:hint="eastAsia" w:ascii="宋体" w:hAnsi="宋体" w:cs="宋体"/>
        </w:rPr>
        <w:t>4.1.4总价金额与按单价汇总金额不一致的，以单价金额计算结果为准。</w:t>
      </w:r>
    </w:p>
    <w:p w14:paraId="1C27F51C">
      <w:pPr>
        <w:tabs>
          <w:tab w:val="left" w:pos="3219"/>
        </w:tabs>
        <w:adjustRightInd w:val="0"/>
        <w:snapToGrid w:val="0"/>
        <w:spacing w:line="360" w:lineRule="auto"/>
        <w:ind w:firstLine="420" w:firstLineChars="200"/>
        <w:rPr>
          <w:rFonts w:hint="eastAsia" w:ascii="宋体" w:hAnsi="宋体" w:cs="宋体"/>
        </w:rPr>
      </w:pPr>
      <w:r>
        <w:rPr>
          <w:rFonts w:hint="eastAsia" w:ascii="宋体" w:hAnsi="宋体" w:cs="宋体"/>
        </w:rPr>
        <w:t>4.1.5同时出现两种以上不一致的，按照4.1规定的顺序修正。经投标人确认后产生约束力。投标人的澄清、说明或者补正应当采用书面形式，并加盖公章，或者由法定代表人或其授权的代表签字。投标人的澄清、说明或者补正不得超出投标文件的范围或者改变投标文件的实质性内容。</w:t>
      </w:r>
    </w:p>
    <w:p w14:paraId="43F2E4A0">
      <w:pPr>
        <w:tabs>
          <w:tab w:val="left" w:pos="3219"/>
        </w:tabs>
        <w:adjustRightInd w:val="0"/>
        <w:snapToGrid w:val="0"/>
        <w:spacing w:line="360" w:lineRule="auto"/>
        <w:ind w:firstLine="420" w:firstLineChars="200"/>
        <w:rPr>
          <w:rFonts w:hint="eastAsia" w:ascii="宋体" w:hAnsi="宋体" w:cs="宋体"/>
        </w:rPr>
      </w:pPr>
      <w:r>
        <w:rPr>
          <w:rFonts w:hint="eastAsia" w:ascii="宋体" w:hAnsi="宋体" w:cs="宋体"/>
        </w:rPr>
        <w:t>4.2投标文件出现不是唯一的、有选择性投标报价的，投标无效。</w:t>
      </w:r>
    </w:p>
    <w:p w14:paraId="5839A378">
      <w:pPr>
        <w:tabs>
          <w:tab w:val="left" w:pos="3219"/>
        </w:tabs>
        <w:adjustRightInd w:val="0"/>
        <w:snapToGrid w:val="0"/>
        <w:spacing w:line="360" w:lineRule="auto"/>
        <w:ind w:firstLine="420" w:firstLineChars="200"/>
        <w:rPr>
          <w:rFonts w:hint="eastAsia" w:ascii="宋体" w:hAnsi="宋体" w:cs="宋体"/>
        </w:rPr>
      </w:pPr>
      <w:r>
        <w:rPr>
          <w:rFonts w:hint="eastAsia" w:ascii="宋体" w:hAnsi="宋体" w:cs="宋体"/>
        </w:rPr>
        <w:t>4.3投标报价超过招标文件中规定的预算金额或者最高限价的，投标无效。</w:t>
      </w:r>
    </w:p>
    <w:p w14:paraId="3641082A">
      <w:pPr>
        <w:tabs>
          <w:tab w:val="left" w:pos="3219"/>
        </w:tabs>
        <w:adjustRightInd w:val="0"/>
        <w:snapToGrid w:val="0"/>
        <w:spacing w:line="360" w:lineRule="auto"/>
        <w:ind w:firstLine="420" w:firstLineChars="200"/>
        <w:rPr>
          <w:rFonts w:hint="eastAsia" w:ascii="宋体" w:hAnsi="宋体" w:cs="宋体"/>
        </w:rPr>
      </w:pPr>
      <w:r>
        <w:rPr>
          <w:rFonts w:hint="eastAsia" w:ascii="宋体" w:hAnsi="宋体" w:cs="宋体"/>
        </w:rPr>
        <w:t>4.4评标委员会认为投标人的报价明显低于其他通过符合性审查投标人的报价，有可能影响产品质量或者不能诚信履约的，应当要求其在合理的时间内提供书面说明，必要时提交相关证明材料;投标人不能证明其报价合理性的，评标委员会应当将其作为无效投标处理。</w:t>
      </w:r>
    </w:p>
    <w:p w14:paraId="77E2F75D">
      <w:pPr>
        <w:tabs>
          <w:tab w:val="left" w:pos="3219"/>
        </w:tabs>
        <w:adjustRightInd w:val="0"/>
        <w:snapToGrid w:val="0"/>
        <w:spacing w:line="360" w:lineRule="auto"/>
        <w:ind w:firstLine="420" w:firstLineChars="200"/>
        <w:rPr>
          <w:rFonts w:hint="eastAsia" w:ascii="宋体" w:hAnsi="宋体" w:cs="宋体"/>
        </w:rPr>
      </w:pPr>
      <w:r>
        <w:rPr>
          <w:rFonts w:hint="eastAsia" w:ascii="宋体" w:hAnsi="宋体" w:cs="宋体"/>
        </w:rPr>
        <w:t>5.排序与推荐。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5938AF42">
      <w:pPr>
        <w:tabs>
          <w:tab w:val="left" w:pos="3219"/>
        </w:tabs>
        <w:adjustRightInd w:val="0"/>
        <w:snapToGrid w:val="0"/>
        <w:spacing w:line="360" w:lineRule="auto"/>
        <w:ind w:firstLine="420" w:firstLineChars="200"/>
        <w:rPr>
          <w:rFonts w:hint="eastAsia" w:ascii="宋体" w:hAnsi="宋体" w:cs="宋体"/>
        </w:rPr>
      </w:pPr>
      <w:r>
        <w:rPr>
          <w:rFonts w:hint="eastAsia" w:ascii="宋体" w:hAnsi="宋体" w:cs="宋体"/>
        </w:rPr>
        <w:t>6.编写评标报告。评标委员会根据全体评标成员签字的原始评标记录和评标结果编写评标报告。评标委员会成员对需要共同认定的事项存在争议的，应当按照少数服从多数的原则作出结论。持不同意见的评标委员会成员应当在评标报告上签署不同意见及理由，否则视为同意评标报告。</w:t>
      </w:r>
    </w:p>
    <w:p w14:paraId="6EA85635">
      <w:pPr>
        <w:adjustRightInd w:val="0"/>
        <w:snapToGrid w:val="0"/>
        <w:spacing w:line="360" w:lineRule="auto"/>
        <w:ind w:firstLine="422" w:firstLineChars="200"/>
        <w:rPr>
          <w:rFonts w:hint="eastAsia" w:ascii="宋体" w:hAnsi="宋体" w:cs="宋体"/>
          <w:b/>
          <w:bCs/>
        </w:rPr>
      </w:pPr>
      <w:r>
        <w:rPr>
          <w:rFonts w:hint="eastAsia" w:ascii="宋体" w:hAnsi="宋体" w:cs="宋体"/>
          <w:b/>
          <w:bCs/>
        </w:rPr>
        <w:t>四、评审细则</w:t>
      </w:r>
    </w:p>
    <w:p w14:paraId="4B002A49">
      <w:pPr>
        <w:pStyle w:val="27"/>
        <w:adjustRightInd w:val="0"/>
        <w:snapToGrid w:val="0"/>
        <w:spacing w:line="360" w:lineRule="auto"/>
        <w:ind w:firstLine="420" w:firstLineChars="200"/>
        <w:jc w:val="left"/>
        <w:rPr>
          <w:rFonts w:hint="eastAsia" w:hAnsi="宋体" w:cs="宋体"/>
          <w:sz w:val="21"/>
          <w:szCs w:val="21"/>
        </w:rPr>
      </w:pPr>
      <w:r>
        <w:rPr>
          <w:rFonts w:hint="eastAsia" w:hAnsi="宋体" w:cs="宋体"/>
          <w:sz w:val="21"/>
          <w:szCs w:val="21"/>
        </w:rPr>
        <w:t>评标采用综合评分法，评审小组从投标报价、供应商的资信、业绩、技术方案、服务承诺等方面进行评审。评审小组根据评审情况，对各供应商的商务报价方面在分值范围内进行统一打分，对各供应商的资信商务方面在分值范围内进行统一打分，对各供应商的技术方面在分值范围内进行独立打分。</w:t>
      </w:r>
    </w:p>
    <w:p w14:paraId="6063163F">
      <w:pPr>
        <w:pStyle w:val="27"/>
        <w:adjustRightInd w:val="0"/>
        <w:snapToGrid w:val="0"/>
        <w:spacing w:line="360" w:lineRule="auto"/>
        <w:ind w:firstLine="422" w:firstLineChars="200"/>
        <w:jc w:val="left"/>
        <w:rPr>
          <w:rFonts w:hint="eastAsia" w:hAnsi="宋体" w:cs="宋体"/>
          <w:b/>
          <w:bCs/>
          <w:sz w:val="21"/>
          <w:szCs w:val="21"/>
        </w:rPr>
      </w:pPr>
      <w:r>
        <w:rPr>
          <w:rFonts w:hint="eastAsia" w:hAnsi="宋体" w:cs="宋体"/>
          <w:b/>
          <w:bCs/>
          <w:sz w:val="21"/>
          <w:szCs w:val="21"/>
        </w:rPr>
        <w:t>每个供应商最终得分=报价分+商务技术分</w:t>
      </w:r>
    </w:p>
    <w:p w14:paraId="54596606">
      <w:pPr>
        <w:spacing w:line="360" w:lineRule="auto"/>
        <w:ind w:firstLine="422" w:firstLineChars="200"/>
        <w:rPr>
          <w:rFonts w:hint="eastAsia" w:ascii="宋体" w:hAnsi="宋体" w:cs="宋体"/>
          <w:b/>
        </w:rPr>
      </w:pPr>
      <w:r>
        <w:rPr>
          <w:rFonts w:hint="eastAsia" w:ascii="宋体" w:hAnsi="宋体" w:cs="宋体"/>
          <w:b/>
          <w:szCs w:val="21"/>
        </w:rPr>
        <w:t>1.</w:t>
      </w:r>
      <w:r>
        <w:rPr>
          <w:rFonts w:hint="eastAsia" w:ascii="宋体" w:hAnsi="宋体" w:cs="宋体"/>
          <w:b/>
        </w:rPr>
        <w:t>商务、技术文件符合性审查：</w:t>
      </w:r>
    </w:p>
    <w:p w14:paraId="04ABC6AE">
      <w:pPr>
        <w:spacing w:line="360" w:lineRule="auto"/>
        <w:ind w:firstLine="422" w:firstLineChars="200"/>
        <w:rPr>
          <w:rFonts w:hint="eastAsia" w:ascii="宋体" w:hAnsi="宋体" w:cs="宋体"/>
          <w:b/>
          <w:u w:val="thick"/>
        </w:rPr>
      </w:pPr>
      <w:r>
        <w:rPr>
          <w:rFonts w:hint="eastAsia" w:ascii="宋体" w:hAnsi="宋体" w:cs="宋体"/>
          <w:b/>
          <w:u w:val="thick"/>
        </w:rPr>
        <w:t>商务、技术文件符合性审查中，存在下列情形之一的，经评审小组认定后作无效标处理：</w:t>
      </w:r>
    </w:p>
    <w:p w14:paraId="4CF1B429">
      <w:pPr>
        <w:pStyle w:val="24"/>
        <w:numPr>
          <w:ilvl w:val="0"/>
          <w:numId w:val="4"/>
        </w:numPr>
        <w:spacing w:line="360" w:lineRule="auto"/>
        <w:ind w:left="369" w:firstLine="420" w:firstLineChars="200"/>
        <w:rPr>
          <w:rFonts w:hint="eastAsia" w:hAnsi="宋体" w:cs="宋体"/>
        </w:rPr>
      </w:pPr>
      <w:r>
        <w:rPr>
          <w:rFonts w:hint="eastAsia" w:hAnsi="宋体" w:cs="宋体"/>
        </w:rPr>
        <w:t>仅提交“备份响应文件”的；</w:t>
      </w:r>
    </w:p>
    <w:p w14:paraId="6F997683">
      <w:pPr>
        <w:pStyle w:val="24"/>
        <w:numPr>
          <w:ilvl w:val="0"/>
          <w:numId w:val="4"/>
        </w:numPr>
        <w:spacing w:line="360" w:lineRule="auto"/>
        <w:ind w:left="369" w:firstLine="420" w:firstLineChars="200"/>
        <w:rPr>
          <w:rFonts w:hint="eastAsia" w:hAnsi="宋体" w:cs="宋体"/>
          <w:szCs w:val="21"/>
        </w:rPr>
      </w:pPr>
      <w:r>
        <w:rPr>
          <w:rFonts w:hint="eastAsia" w:hAnsi="宋体" w:cs="宋体"/>
          <w:szCs w:val="21"/>
        </w:rPr>
        <w:t>供应商不符合招标资格条件的；</w:t>
      </w:r>
    </w:p>
    <w:p w14:paraId="6D6475D3">
      <w:pPr>
        <w:pStyle w:val="24"/>
        <w:numPr>
          <w:ilvl w:val="0"/>
          <w:numId w:val="4"/>
        </w:numPr>
        <w:spacing w:line="360" w:lineRule="auto"/>
        <w:ind w:left="369" w:firstLine="420" w:firstLineChars="200"/>
        <w:rPr>
          <w:rFonts w:hint="eastAsia" w:hAnsi="宋体" w:cs="宋体"/>
          <w:szCs w:val="21"/>
        </w:rPr>
      </w:pPr>
      <w:r>
        <w:rPr>
          <w:rFonts w:hint="eastAsia" w:hAnsi="宋体" w:cs="宋体"/>
        </w:rPr>
        <w:t>响应文件存在一个或一个以上备选（替代）投标方案的；</w:t>
      </w:r>
    </w:p>
    <w:p w14:paraId="420911C5">
      <w:pPr>
        <w:pStyle w:val="24"/>
        <w:numPr>
          <w:ilvl w:val="0"/>
          <w:numId w:val="4"/>
        </w:numPr>
        <w:spacing w:line="360" w:lineRule="auto"/>
        <w:ind w:left="369" w:firstLine="420" w:firstLineChars="200"/>
        <w:rPr>
          <w:rFonts w:hint="eastAsia" w:hAnsi="宋体" w:cs="宋体"/>
          <w:szCs w:val="21"/>
        </w:rPr>
      </w:pPr>
      <w:r>
        <w:rPr>
          <w:rFonts w:hint="eastAsia" w:hAnsi="宋体" w:cs="宋体"/>
          <w:szCs w:val="21"/>
        </w:rPr>
        <w:t>获取文件的供应商与参加采购活动的供应商发生实质性变更的且未提供有效证明的；</w:t>
      </w:r>
    </w:p>
    <w:p w14:paraId="70FB7E9E">
      <w:pPr>
        <w:pStyle w:val="24"/>
        <w:numPr>
          <w:ilvl w:val="0"/>
          <w:numId w:val="4"/>
        </w:numPr>
        <w:spacing w:line="360" w:lineRule="auto"/>
        <w:ind w:left="369" w:firstLine="420" w:firstLineChars="200"/>
        <w:rPr>
          <w:rFonts w:hint="eastAsia" w:hAnsi="宋体" w:cs="宋体"/>
          <w:szCs w:val="21"/>
        </w:rPr>
      </w:pPr>
      <w:r>
        <w:rPr>
          <w:rFonts w:hint="eastAsia" w:hAnsi="宋体" w:cs="宋体"/>
          <w:szCs w:val="24"/>
        </w:rPr>
        <w:t>响应文件未有效授权，</w:t>
      </w:r>
      <w:r>
        <w:rPr>
          <w:rFonts w:hint="eastAsia" w:hAnsi="宋体" w:cs="宋体"/>
          <w:szCs w:val="21"/>
        </w:rPr>
        <w:t>未提供或提供无效的法定代表人资格证明书或附法定代表人资格证明书的法定代表人授权书；</w:t>
      </w:r>
    </w:p>
    <w:p w14:paraId="7B355B3F">
      <w:pPr>
        <w:pStyle w:val="24"/>
        <w:numPr>
          <w:ilvl w:val="0"/>
          <w:numId w:val="4"/>
        </w:numPr>
        <w:spacing w:line="360" w:lineRule="auto"/>
        <w:ind w:left="369" w:firstLine="420" w:firstLineChars="200"/>
        <w:rPr>
          <w:rFonts w:hint="eastAsia" w:hAnsi="宋体" w:cs="宋体"/>
          <w:szCs w:val="21"/>
        </w:rPr>
      </w:pPr>
      <w:r>
        <w:rPr>
          <w:rFonts w:hint="eastAsia" w:hAnsi="宋体" w:cs="宋体"/>
          <w:szCs w:val="21"/>
        </w:rPr>
        <w:t>响应文件内容未按招标文件规定签字或盖章的；</w:t>
      </w:r>
    </w:p>
    <w:p w14:paraId="48FA76CC">
      <w:pPr>
        <w:pStyle w:val="24"/>
        <w:numPr>
          <w:ilvl w:val="0"/>
          <w:numId w:val="4"/>
        </w:numPr>
        <w:spacing w:line="360" w:lineRule="auto"/>
        <w:ind w:left="369" w:firstLine="420" w:firstLineChars="200"/>
        <w:rPr>
          <w:rFonts w:hint="eastAsia" w:hAnsi="宋体" w:cs="宋体"/>
          <w:szCs w:val="21"/>
        </w:rPr>
      </w:pPr>
      <w:r>
        <w:rPr>
          <w:rFonts w:hint="eastAsia" w:hAnsi="宋体" w:cs="宋体"/>
          <w:szCs w:val="21"/>
        </w:rPr>
        <w:t>响应文件组成漏项或未按规定的格式编制，内容不全或内容字迹模糊辨认不清的而导致评审活动无法正常进行；</w:t>
      </w:r>
    </w:p>
    <w:p w14:paraId="4BAC5423">
      <w:pPr>
        <w:pStyle w:val="24"/>
        <w:numPr>
          <w:ilvl w:val="0"/>
          <w:numId w:val="4"/>
        </w:numPr>
        <w:spacing w:line="360" w:lineRule="auto"/>
        <w:ind w:left="369" w:firstLine="420" w:firstLineChars="200"/>
        <w:rPr>
          <w:rFonts w:hint="eastAsia" w:hAnsi="宋体" w:cs="宋体"/>
          <w:szCs w:val="21"/>
        </w:rPr>
      </w:pPr>
      <w:r>
        <w:rPr>
          <w:rFonts w:hint="eastAsia" w:hAnsi="宋体" w:cs="宋体"/>
          <w:szCs w:val="21"/>
        </w:rPr>
        <w:t>供应商未按招标文件变更公告通知更改响应文件的；</w:t>
      </w:r>
    </w:p>
    <w:p w14:paraId="2D24AF5D">
      <w:pPr>
        <w:pStyle w:val="24"/>
        <w:numPr>
          <w:ilvl w:val="0"/>
          <w:numId w:val="4"/>
        </w:numPr>
        <w:spacing w:line="360" w:lineRule="auto"/>
        <w:ind w:left="369" w:firstLine="420" w:firstLineChars="200"/>
        <w:rPr>
          <w:rFonts w:hint="eastAsia" w:hAnsi="宋体" w:cs="宋体"/>
          <w:szCs w:val="21"/>
        </w:rPr>
      </w:pPr>
      <w:r>
        <w:rPr>
          <w:rFonts w:hint="eastAsia" w:hAnsi="宋体" w:cs="宋体"/>
          <w:szCs w:val="21"/>
        </w:rPr>
        <w:t>参与同一个采购包（标段）的供应商存在下列情形之一且无法合理解释的，其投标（响应）文件无效：1.不同供应商的电子投标（响应）文件上传计算机的网卡MAC地址或硬盘序列号等硬件信息相同的；2.上传的电子投标（响应）文件若出现使用本项目其他投标（响应）供应商的数字证书加密的，或者加盖本项目其他投标（响应）供应商的电子印章的；3.不同供应商的投标（响应）文件的内容存在3处（含）以上错误一致的；4.不同供应商联系人为同一人或不同联系人的联系电话一致的；</w:t>
      </w:r>
    </w:p>
    <w:p w14:paraId="736844CB">
      <w:pPr>
        <w:pStyle w:val="24"/>
        <w:numPr>
          <w:ilvl w:val="0"/>
          <w:numId w:val="4"/>
        </w:numPr>
        <w:spacing w:line="360" w:lineRule="auto"/>
        <w:ind w:left="369" w:firstLine="420" w:firstLineChars="200"/>
        <w:rPr>
          <w:rFonts w:hint="eastAsia" w:hAnsi="宋体" w:cs="宋体"/>
          <w:szCs w:val="21"/>
        </w:rPr>
      </w:pPr>
      <w:r>
        <w:rPr>
          <w:rFonts w:hint="eastAsia" w:hAnsi="宋体" w:cs="宋体"/>
          <w:szCs w:val="21"/>
        </w:rPr>
        <w:t>未实质性响应招标文件中带“▲”条款要求的响应文件；</w:t>
      </w:r>
    </w:p>
    <w:p w14:paraId="022420ED">
      <w:pPr>
        <w:pStyle w:val="24"/>
        <w:numPr>
          <w:ilvl w:val="0"/>
          <w:numId w:val="4"/>
        </w:numPr>
        <w:spacing w:line="360" w:lineRule="auto"/>
        <w:ind w:left="369" w:firstLine="420" w:firstLineChars="200"/>
        <w:rPr>
          <w:rFonts w:hint="eastAsia" w:hAnsi="宋体" w:cs="宋体"/>
          <w:szCs w:val="21"/>
        </w:rPr>
      </w:pPr>
      <w:r>
        <w:rPr>
          <w:rFonts w:hint="eastAsia" w:hAnsi="宋体" w:cs="宋体"/>
          <w:szCs w:val="21"/>
        </w:rPr>
        <w:t>响应文件附有采购人不能接受的条款；</w:t>
      </w:r>
    </w:p>
    <w:p w14:paraId="3F0FDD45">
      <w:pPr>
        <w:pStyle w:val="24"/>
        <w:numPr>
          <w:ilvl w:val="0"/>
          <w:numId w:val="4"/>
        </w:numPr>
        <w:spacing w:line="360" w:lineRule="auto"/>
        <w:ind w:left="369" w:firstLine="420" w:firstLineChars="200"/>
        <w:rPr>
          <w:rFonts w:hint="eastAsia" w:hAnsi="宋体" w:cs="宋体"/>
        </w:rPr>
      </w:pPr>
      <w:r>
        <w:rPr>
          <w:rFonts w:hint="eastAsia" w:hAnsi="宋体" w:cs="宋体"/>
          <w:szCs w:val="21"/>
        </w:rPr>
        <w:t>存在串标、抬标或弄虚作假情况的；</w:t>
      </w:r>
    </w:p>
    <w:p w14:paraId="5EA86A3F">
      <w:pPr>
        <w:pStyle w:val="24"/>
        <w:numPr>
          <w:ilvl w:val="0"/>
          <w:numId w:val="4"/>
        </w:numPr>
        <w:spacing w:line="360" w:lineRule="auto"/>
        <w:ind w:left="369" w:firstLine="420" w:firstLineChars="200"/>
        <w:rPr>
          <w:rFonts w:hint="eastAsia" w:hAnsi="宋体" w:cs="宋体"/>
        </w:rPr>
      </w:pPr>
      <w:r>
        <w:rPr>
          <w:rFonts w:hint="eastAsia" w:hAnsi="宋体" w:cs="宋体"/>
          <w:szCs w:val="21"/>
        </w:rPr>
        <w:t>违反国家及</w:t>
      </w:r>
      <w:r>
        <w:rPr>
          <w:rFonts w:hint="eastAsia" w:hAnsi="宋体" w:cs="宋体"/>
        </w:rPr>
        <w:t>政府部门相关法律、法规、文件规定或经评审小组认定的属于重大偏离。</w:t>
      </w:r>
    </w:p>
    <w:p w14:paraId="7E00DCFB">
      <w:pPr>
        <w:snapToGrid w:val="0"/>
        <w:spacing w:before="240" w:line="360" w:lineRule="auto"/>
        <w:ind w:right="210" w:rightChars="100" w:firstLine="422" w:firstLineChars="200"/>
        <w:rPr>
          <w:rFonts w:hint="eastAsia" w:ascii="宋体" w:hAnsi="宋体" w:cs="宋体"/>
          <w:b/>
          <w:szCs w:val="21"/>
        </w:rPr>
      </w:pPr>
    </w:p>
    <w:p w14:paraId="022A912F">
      <w:pPr>
        <w:snapToGrid w:val="0"/>
        <w:spacing w:before="240" w:line="360" w:lineRule="auto"/>
        <w:ind w:right="210" w:rightChars="100" w:firstLine="422" w:firstLineChars="200"/>
        <w:rPr>
          <w:rFonts w:hint="eastAsia" w:ascii="宋体" w:hAnsi="宋体" w:cs="宋体"/>
          <w:b/>
          <w:szCs w:val="21"/>
        </w:rPr>
      </w:pPr>
    </w:p>
    <w:p w14:paraId="36105F43">
      <w:pPr>
        <w:snapToGrid w:val="0"/>
        <w:spacing w:before="240" w:line="360" w:lineRule="auto"/>
        <w:ind w:right="210" w:rightChars="100" w:firstLine="422" w:firstLineChars="200"/>
        <w:rPr>
          <w:rFonts w:hint="eastAsia" w:ascii="宋体" w:hAnsi="宋体" w:cs="宋体"/>
          <w:b/>
          <w:szCs w:val="21"/>
        </w:rPr>
      </w:pPr>
      <w:r>
        <w:rPr>
          <w:rFonts w:hint="eastAsia" w:ascii="宋体" w:hAnsi="宋体" w:cs="宋体"/>
          <w:b/>
          <w:szCs w:val="21"/>
        </w:rPr>
        <w:t>2.商务技术分   总分90分</w:t>
      </w:r>
    </w:p>
    <w:p w14:paraId="2D23671C">
      <w:pPr>
        <w:pStyle w:val="27"/>
        <w:adjustRightInd w:val="0"/>
        <w:snapToGrid w:val="0"/>
        <w:spacing w:line="360" w:lineRule="auto"/>
        <w:ind w:firstLine="420" w:firstLineChars="200"/>
        <w:jc w:val="left"/>
        <w:rPr>
          <w:rFonts w:hint="eastAsia" w:hAnsi="宋体" w:cs="宋体"/>
          <w:sz w:val="21"/>
          <w:szCs w:val="21"/>
        </w:rPr>
      </w:pPr>
      <w:r>
        <w:rPr>
          <w:rFonts w:hint="eastAsia" w:hAnsi="宋体" w:cs="宋体"/>
          <w:sz w:val="21"/>
          <w:szCs w:val="21"/>
        </w:rPr>
        <w:t>该评分分值由评审小组根据评审情况在分值范围内独立打分（具体分值设定详见表格），小数点后保留一位小数。每个供应商的最终技术分为评审小组打分汇总后的算术平均值（小数点后保留二位小数，第三位四舍五入）。</w:t>
      </w:r>
      <w:bookmarkStart w:id="16" w:name="_Toc345320401"/>
    </w:p>
    <w:tbl>
      <w:tblPr>
        <w:tblStyle w:val="48"/>
        <w:tblW w:w="9638" w:type="dxa"/>
        <w:jc w:val="center"/>
        <w:tblLayout w:type="fixed"/>
        <w:tblCellMar>
          <w:top w:w="0" w:type="dxa"/>
          <w:left w:w="108" w:type="dxa"/>
          <w:bottom w:w="0" w:type="dxa"/>
          <w:right w:w="108" w:type="dxa"/>
        </w:tblCellMar>
      </w:tblPr>
      <w:tblGrid>
        <w:gridCol w:w="730"/>
        <w:gridCol w:w="1890"/>
        <w:gridCol w:w="6229"/>
        <w:gridCol w:w="789"/>
      </w:tblGrid>
      <w:tr w14:paraId="20A845F8">
        <w:tblPrEx>
          <w:tblCellMar>
            <w:top w:w="0" w:type="dxa"/>
            <w:left w:w="108" w:type="dxa"/>
            <w:bottom w:w="0" w:type="dxa"/>
            <w:right w:w="108" w:type="dxa"/>
          </w:tblCellMar>
        </w:tblPrEx>
        <w:trPr>
          <w:jc w:val="center"/>
        </w:trPr>
        <w:tc>
          <w:tcPr>
            <w:tcW w:w="730" w:type="dxa"/>
            <w:tcBorders>
              <w:top w:val="single" w:color="000000" w:sz="4" w:space="0"/>
              <w:left w:val="single" w:color="000000" w:sz="4" w:space="0"/>
              <w:bottom w:val="single" w:color="000000" w:sz="4" w:space="0"/>
              <w:right w:val="single" w:color="000000" w:sz="4" w:space="0"/>
            </w:tcBorders>
            <w:vAlign w:val="center"/>
          </w:tcPr>
          <w:p w14:paraId="42375884">
            <w:pPr>
              <w:widowControl/>
              <w:spacing w:line="360" w:lineRule="auto"/>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序号</w:t>
            </w:r>
          </w:p>
        </w:tc>
        <w:tc>
          <w:tcPr>
            <w:tcW w:w="1890" w:type="dxa"/>
            <w:tcBorders>
              <w:top w:val="single" w:color="000000" w:sz="4" w:space="0"/>
              <w:left w:val="single" w:color="000000" w:sz="4" w:space="0"/>
              <w:bottom w:val="single" w:color="000000" w:sz="4" w:space="0"/>
              <w:right w:val="single" w:color="000000" w:sz="4" w:space="0"/>
            </w:tcBorders>
            <w:vAlign w:val="center"/>
          </w:tcPr>
          <w:p w14:paraId="604B9465">
            <w:pPr>
              <w:widowControl/>
              <w:spacing w:line="360" w:lineRule="auto"/>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评审因素</w:t>
            </w:r>
          </w:p>
        </w:tc>
        <w:tc>
          <w:tcPr>
            <w:tcW w:w="6229" w:type="dxa"/>
            <w:tcBorders>
              <w:top w:val="single" w:color="000000" w:sz="4" w:space="0"/>
              <w:left w:val="single" w:color="000000" w:sz="4" w:space="0"/>
              <w:bottom w:val="single" w:color="000000" w:sz="4" w:space="0"/>
              <w:right w:val="single" w:color="000000" w:sz="4" w:space="0"/>
            </w:tcBorders>
            <w:vAlign w:val="center"/>
          </w:tcPr>
          <w:p w14:paraId="4E88DBBB">
            <w:pPr>
              <w:widowControl/>
              <w:spacing w:line="360" w:lineRule="auto"/>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评 审 标 准</w:t>
            </w:r>
          </w:p>
        </w:tc>
        <w:tc>
          <w:tcPr>
            <w:tcW w:w="789" w:type="dxa"/>
            <w:tcBorders>
              <w:top w:val="single" w:color="000000" w:sz="4" w:space="0"/>
              <w:left w:val="single" w:color="000000" w:sz="4" w:space="0"/>
              <w:bottom w:val="single" w:color="000000" w:sz="4" w:space="0"/>
              <w:right w:val="single" w:color="000000" w:sz="4" w:space="0"/>
            </w:tcBorders>
            <w:vAlign w:val="center"/>
          </w:tcPr>
          <w:p w14:paraId="73626421">
            <w:pPr>
              <w:widowControl/>
              <w:spacing w:line="360" w:lineRule="auto"/>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分值</w:t>
            </w:r>
          </w:p>
        </w:tc>
      </w:tr>
      <w:tr w14:paraId="5658F76E">
        <w:tblPrEx>
          <w:tblCellMar>
            <w:top w:w="0" w:type="dxa"/>
            <w:left w:w="108" w:type="dxa"/>
            <w:bottom w:w="0" w:type="dxa"/>
            <w:right w:w="108" w:type="dxa"/>
          </w:tblCellMar>
        </w:tblPrEx>
        <w:trPr>
          <w:jc w:val="center"/>
        </w:trPr>
        <w:tc>
          <w:tcPr>
            <w:tcW w:w="730" w:type="dxa"/>
            <w:tcBorders>
              <w:top w:val="single" w:color="000000" w:sz="4" w:space="0"/>
              <w:left w:val="single" w:color="000000" w:sz="4" w:space="0"/>
              <w:bottom w:val="single" w:color="000000" w:sz="4" w:space="0"/>
              <w:right w:val="single" w:color="000000" w:sz="4" w:space="0"/>
            </w:tcBorders>
            <w:vAlign w:val="center"/>
          </w:tcPr>
          <w:p w14:paraId="7290F7DC">
            <w:pPr>
              <w:widowControl/>
              <w:spacing w:line="360" w:lineRule="auto"/>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1890" w:type="dxa"/>
            <w:tcBorders>
              <w:top w:val="single" w:color="000000" w:sz="4" w:space="0"/>
              <w:left w:val="single" w:color="000000" w:sz="4" w:space="0"/>
              <w:bottom w:val="nil"/>
              <w:right w:val="single" w:color="000000" w:sz="4" w:space="0"/>
            </w:tcBorders>
            <w:vAlign w:val="center"/>
          </w:tcPr>
          <w:p w14:paraId="3E8198AD">
            <w:pPr>
              <w:widowControl/>
              <w:spacing w:line="360" w:lineRule="auto"/>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认证证书</w:t>
            </w:r>
          </w:p>
        </w:tc>
        <w:tc>
          <w:tcPr>
            <w:tcW w:w="6229" w:type="dxa"/>
            <w:tcBorders>
              <w:top w:val="single" w:color="000000" w:sz="4" w:space="0"/>
              <w:left w:val="single" w:color="000000" w:sz="4" w:space="0"/>
              <w:bottom w:val="single" w:color="000000" w:sz="4" w:space="0"/>
              <w:right w:val="single" w:color="000000" w:sz="4" w:space="0"/>
            </w:tcBorders>
          </w:tcPr>
          <w:p w14:paraId="0CCAF21A">
            <w:pPr>
              <w:widowControl/>
              <w:spacing w:line="360" w:lineRule="auto"/>
              <w:jc w:val="left"/>
              <w:textAlignment w:val="top"/>
              <w:rPr>
                <w:rFonts w:hint="eastAsia" w:ascii="宋体" w:hAnsi="宋体" w:cs="宋体"/>
                <w:b/>
                <w:bCs/>
                <w:color w:val="000000"/>
                <w:sz w:val="22"/>
                <w:szCs w:val="22"/>
              </w:rPr>
            </w:pPr>
            <w:r>
              <w:rPr>
                <w:rFonts w:hint="eastAsia" w:ascii="宋体" w:hAnsi="宋体" w:cs="宋体"/>
                <w:b/>
                <w:bCs/>
                <w:color w:val="000000"/>
                <w:kern w:val="0"/>
                <w:sz w:val="22"/>
                <w:szCs w:val="22"/>
                <w:lang w:bidi="ar"/>
              </w:rPr>
              <w:t>认证证书</w:t>
            </w:r>
            <w:r>
              <w:rPr>
                <w:rStyle w:val="248"/>
                <w:rFonts w:hint="default"/>
                <w:sz w:val="22"/>
                <w:szCs w:val="22"/>
                <w:lang w:bidi="ar"/>
              </w:rPr>
              <w:t>：</w:t>
            </w:r>
            <w:r>
              <w:rPr>
                <w:rStyle w:val="248"/>
                <w:rFonts w:hint="default"/>
                <w:sz w:val="22"/>
                <w:szCs w:val="22"/>
                <w:lang w:bidi="ar"/>
              </w:rPr>
              <w:br w:type="textWrapping"/>
            </w:r>
            <w:r>
              <w:rPr>
                <w:rStyle w:val="248"/>
                <w:rFonts w:hint="default"/>
                <w:sz w:val="22"/>
                <w:szCs w:val="22"/>
                <w:lang w:bidi="ar"/>
              </w:rPr>
              <w:t>投标人具有有效期内的ISO9001质量管理体系认证证书、ISO14001环境管理体系认证证书、ISO45001职业健康安全体系认证证书，信息安全管理体系认证证书</w:t>
            </w:r>
            <w:r>
              <w:rPr>
                <w:rStyle w:val="248"/>
                <w:rFonts w:hint="eastAsia"/>
                <w:sz w:val="22"/>
                <w:szCs w:val="22"/>
                <w:lang w:eastAsia="zh-CN" w:bidi="ar"/>
              </w:rPr>
              <w:t>，</w:t>
            </w:r>
            <w:r>
              <w:rPr>
                <w:rStyle w:val="248"/>
                <w:rFonts w:hint="eastAsia"/>
                <w:sz w:val="22"/>
                <w:szCs w:val="22"/>
                <w:lang w:val="en-US" w:eastAsia="zh-CN" w:bidi="ar"/>
              </w:rPr>
              <w:t>企业诚信管理体系认证</w:t>
            </w:r>
            <w:r>
              <w:rPr>
                <w:rStyle w:val="248"/>
                <w:rFonts w:hint="default"/>
                <w:sz w:val="22"/>
                <w:szCs w:val="22"/>
                <w:lang w:bidi="ar"/>
              </w:rPr>
              <w:t>，每项得1分</w:t>
            </w:r>
            <w:r>
              <w:rPr>
                <w:rStyle w:val="248"/>
                <w:rFonts w:hint="default"/>
                <w:color w:val="auto"/>
                <w:sz w:val="22"/>
                <w:szCs w:val="22"/>
                <w:lang w:bidi="ar"/>
              </w:rPr>
              <w:t>，最高得</w:t>
            </w:r>
            <w:r>
              <w:rPr>
                <w:rStyle w:val="248"/>
                <w:rFonts w:hint="eastAsia"/>
                <w:color w:val="auto"/>
                <w:sz w:val="22"/>
                <w:szCs w:val="22"/>
                <w:lang w:val="en-US" w:eastAsia="zh-CN" w:bidi="ar"/>
              </w:rPr>
              <w:t>5</w:t>
            </w:r>
            <w:r>
              <w:rPr>
                <w:rStyle w:val="248"/>
                <w:rFonts w:hint="default"/>
                <w:color w:val="auto"/>
                <w:sz w:val="22"/>
                <w:szCs w:val="22"/>
                <w:lang w:bidi="ar"/>
              </w:rPr>
              <w:t>分。</w:t>
            </w:r>
            <w:r>
              <w:rPr>
                <w:rStyle w:val="248"/>
                <w:rFonts w:hint="default"/>
                <w:color w:val="FF0000"/>
                <w:sz w:val="22"/>
                <w:szCs w:val="22"/>
                <w:lang w:bidi="ar"/>
              </w:rPr>
              <w:br w:type="textWrapping"/>
            </w:r>
            <w:r>
              <w:rPr>
                <w:rStyle w:val="248"/>
                <w:rFonts w:hint="default"/>
                <w:sz w:val="22"/>
                <w:szCs w:val="22"/>
                <w:lang w:bidi="ar"/>
              </w:rPr>
              <w:t>注：以上证书须由中国国家认证认可监督管理委员会备案通过的认证机构颁发，提供证书复印件及全国认证认可信息公共服务平台的网页查询截图，否则不得分。</w:t>
            </w:r>
          </w:p>
        </w:tc>
        <w:tc>
          <w:tcPr>
            <w:tcW w:w="789" w:type="dxa"/>
            <w:tcBorders>
              <w:top w:val="single" w:color="000000" w:sz="4" w:space="0"/>
              <w:left w:val="single" w:color="000000" w:sz="4" w:space="0"/>
              <w:bottom w:val="single" w:color="000000" w:sz="4" w:space="0"/>
              <w:right w:val="single" w:color="000000" w:sz="4" w:space="0"/>
            </w:tcBorders>
            <w:vAlign w:val="center"/>
          </w:tcPr>
          <w:p w14:paraId="60B68D56">
            <w:pPr>
              <w:widowControl/>
              <w:spacing w:line="360" w:lineRule="auto"/>
              <w:jc w:val="center"/>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val="en-US" w:eastAsia="zh-CN" w:bidi="ar"/>
              </w:rPr>
              <w:t>5</w:t>
            </w:r>
          </w:p>
        </w:tc>
      </w:tr>
      <w:tr w14:paraId="50E5E6C3">
        <w:tblPrEx>
          <w:tblCellMar>
            <w:top w:w="0" w:type="dxa"/>
            <w:left w:w="108" w:type="dxa"/>
            <w:bottom w:w="0" w:type="dxa"/>
            <w:right w:w="108" w:type="dxa"/>
          </w:tblCellMar>
        </w:tblPrEx>
        <w:trPr>
          <w:jc w:val="center"/>
        </w:trPr>
        <w:tc>
          <w:tcPr>
            <w:tcW w:w="730" w:type="dxa"/>
            <w:tcBorders>
              <w:top w:val="single" w:color="000000" w:sz="4" w:space="0"/>
              <w:left w:val="single" w:color="000000" w:sz="4" w:space="0"/>
              <w:bottom w:val="single" w:color="000000" w:sz="4" w:space="0"/>
              <w:right w:val="single" w:color="000000" w:sz="4" w:space="0"/>
            </w:tcBorders>
            <w:vAlign w:val="center"/>
          </w:tcPr>
          <w:p w14:paraId="2E1912F9">
            <w:pPr>
              <w:widowControl/>
              <w:spacing w:line="360" w:lineRule="auto"/>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w:t>
            </w:r>
          </w:p>
        </w:tc>
        <w:tc>
          <w:tcPr>
            <w:tcW w:w="1890" w:type="dxa"/>
            <w:tcBorders>
              <w:top w:val="single" w:color="000000" w:sz="4" w:space="0"/>
              <w:left w:val="single" w:color="000000" w:sz="4" w:space="0"/>
              <w:bottom w:val="nil"/>
              <w:right w:val="single" w:color="000000" w:sz="4" w:space="0"/>
            </w:tcBorders>
            <w:vAlign w:val="center"/>
          </w:tcPr>
          <w:p w14:paraId="12F9B666">
            <w:pPr>
              <w:widowControl/>
              <w:spacing w:line="360" w:lineRule="auto"/>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业绩</w:t>
            </w:r>
          </w:p>
        </w:tc>
        <w:tc>
          <w:tcPr>
            <w:tcW w:w="6229" w:type="dxa"/>
            <w:tcBorders>
              <w:top w:val="single" w:color="000000" w:sz="4" w:space="0"/>
              <w:left w:val="single" w:color="000000" w:sz="4" w:space="0"/>
              <w:bottom w:val="single" w:color="000000" w:sz="4" w:space="0"/>
              <w:right w:val="single" w:color="000000" w:sz="4" w:space="0"/>
            </w:tcBorders>
            <w:vAlign w:val="center"/>
          </w:tcPr>
          <w:p w14:paraId="10D715AA">
            <w:pPr>
              <w:widowControl/>
              <w:spacing w:line="360" w:lineRule="auto"/>
              <w:jc w:val="left"/>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业绩：</w:t>
            </w:r>
            <w:r>
              <w:rPr>
                <w:rStyle w:val="248"/>
                <w:rFonts w:hint="default"/>
                <w:sz w:val="22"/>
                <w:szCs w:val="22"/>
                <w:lang w:bidi="ar"/>
              </w:rPr>
              <w:br w:type="textWrapping"/>
            </w:r>
            <w:r>
              <w:rPr>
                <w:rStyle w:val="248"/>
                <w:rFonts w:hint="default"/>
                <w:sz w:val="22"/>
                <w:szCs w:val="22"/>
                <w:lang w:bidi="ar"/>
              </w:rPr>
              <w:t>投标人自2022年1月1日以来（以合同签订日期为准）具有类似项目业绩，提供项目合同复印件，每个业绩得2分，最高得6分。</w:t>
            </w:r>
            <w:r>
              <w:rPr>
                <w:rStyle w:val="248"/>
                <w:rFonts w:hint="default"/>
                <w:sz w:val="22"/>
                <w:szCs w:val="22"/>
                <w:lang w:bidi="ar"/>
              </w:rPr>
              <w:br w:type="textWrapping"/>
            </w:r>
            <w:r>
              <w:rPr>
                <w:rStyle w:val="260"/>
                <w:rFonts w:hint="default"/>
                <w:sz w:val="22"/>
                <w:szCs w:val="22"/>
                <w:lang w:bidi="ar"/>
              </w:rPr>
              <w:t>（业绩材料必须能体现项目类型、合同签订日期等信息，不提供不得分。）</w:t>
            </w:r>
          </w:p>
        </w:tc>
        <w:tc>
          <w:tcPr>
            <w:tcW w:w="789" w:type="dxa"/>
            <w:tcBorders>
              <w:top w:val="single" w:color="000000" w:sz="4" w:space="0"/>
              <w:left w:val="single" w:color="000000" w:sz="4" w:space="0"/>
              <w:bottom w:val="single" w:color="000000" w:sz="4" w:space="0"/>
              <w:right w:val="single" w:color="000000" w:sz="4" w:space="0"/>
            </w:tcBorders>
            <w:vAlign w:val="center"/>
          </w:tcPr>
          <w:p w14:paraId="2666CD7C">
            <w:pPr>
              <w:widowControl/>
              <w:spacing w:line="360" w:lineRule="auto"/>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6</w:t>
            </w:r>
          </w:p>
        </w:tc>
      </w:tr>
      <w:tr w14:paraId="19CA6A90">
        <w:tblPrEx>
          <w:tblCellMar>
            <w:top w:w="0" w:type="dxa"/>
            <w:left w:w="108" w:type="dxa"/>
            <w:bottom w:w="0" w:type="dxa"/>
            <w:right w:w="108" w:type="dxa"/>
          </w:tblCellMar>
        </w:tblPrEx>
        <w:trPr>
          <w:jc w:val="center"/>
        </w:trPr>
        <w:tc>
          <w:tcPr>
            <w:tcW w:w="730" w:type="dxa"/>
            <w:tcBorders>
              <w:top w:val="single" w:color="000000" w:sz="4" w:space="0"/>
              <w:left w:val="single" w:color="000000" w:sz="4" w:space="0"/>
              <w:bottom w:val="single" w:color="000000" w:sz="4" w:space="0"/>
              <w:right w:val="single" w:color="000000" w:sz="4" w:space="0"/>
            </w:tcBorders>
            <w:vAlign w:val="center"/>
          </w:tcPr>
          <w:p w14:paraId="1ED2A314">
            <w:pPr>
              <w:widowControl/>
              <w:spacing w:line="360" w:lineRule="auto"/>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w:t>
            </w:r>
          </w:p>
        </w:tc>
        <w:tc>
          <w:tcPr>
            <w:tcW w:w="1890" w:type="dxa"/>
            <w:tcBorders>
              <w:top w:val="single" w:color="000000" w:sz="4" w:space="0"/>
              <w:left w:val="single" w:color="000000" w:sz="4" w:space="0"/>
              <w:bottom w:val="nil"/>
              <w:right w:val="single" w:color="000000" w:sz="4" w:space="0"/>
            </w:tcBorders>
            <w:vAlign w:val="center"/>
          </w:tcPr>
          <w:p w14:paraId="11C700BF">
            <w:pPr>
              <w:widowControl/>
              <w:spacing w:line="360" w:lineRule="auto"/>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信用等级</w:t>
            </w:r>
          </w:p>
        </w:tc>
        <w:tc>
          <w:tcPr>
            <w:tcW w:w="6229" w:type="dxa"/>
            <w:tcBorders>
              <w:top w:val="single" w:color="000000" w:sz="4" w:space="0"/>
              <w:left w:val="single" w:color="000000" w:sz="4" w:space="0"/>
              <w:bottom w:val="nil"/>
              <w:right w:val="single" w:color="000000" w:sz="4" w:space="0"/>
            </w:tcBorders>
            <w:vAlign w:val="center"/>
          </w:tcPr>
          <w:p w14:paraId="1A7467FF">
            <w:pPr>
              <w:widowControl/>
              <w:spacing w:line="360" w:lineRule="auto"/>
              <w:jc w:val="left"/>
              <w:textAlignment w:val="center"/>
              <w:rPr>
                <w:rFonts w:hint="eastAsia" w:ascii="宋体" w:hAnsi="宋体" w:cs="宋体"/>
                <w:color w:val="000000"/>
                <w:sz w:val="22"/>
                <w:szCs w:val="22"/>
              </w:rPr>
            </w:pPr>
            <w:r>
              <w:rPr>
                <w:rFonts w:hint="eastAsia" w:ascii="宋体" w:hAnsi="宋体" w:cs="宋体"/>
                <w:color w:val="auto"/>
                <w:kern w:val="0"/>
                <w:sz w:val="22"/>
                <w:szCs w:val="22"/>
                <w:lang w:bidi="ar"/>
              </w:rPr>
              <w:t>投标人</w:t>
            </w:r>
            <w:r>
              <w:rPr>
                <w:rFonts w:ascii="宋体" w:hAnsi="宋体" w:cs="宋体"/>
                <w:color w:val="auto"/>
                <w:kern w:val="0"/>
                <w:sz w:val="22"/>
                <w:szCs w:val="22"/>
                <w:lang w:bidi="ar"/>
              </w:rPr>
              <w:t>获得AAA级“守合同重信用”公示企业证书的得3分、AA级得2分、A级得1分</w:t>
            </w:r>
            <w:r>
              <w:rPr>
                <w:rFonts w:hint="eastAsia" w:ascii="宋体" w:hAnsi="宋体" w:cs="宋体"/>
                <w:color w:val="auto"/>
                <w:kern w:val="0"/>
                <w:sz w:val="22"/>
                <w:szCs w:val="22"/>
                <w:lang w:bidi="ar"/>
              </w:rPr>
              <w:t>，此项最高得3分。</w:t>
            </w:r>
            <w:r>
              <w:rPr>
                <w:rFonts w:hint="eastAsia" w:ascii="宋体" w:hAnsi="宋体" w:cs="宋体"/>
                <w:color w:val="EE0000"/>
                <w:kern w:val="0"/>
                <w:sz w:val="22"/>
                <w:szCs w:val="22"/>
                <w:lang w:bidi="ar"/>
              </w:rPr>
              <w:br w:type="textWrapping"/>
            </w:r>
            <w:r>
              <w:rPr>
                <w:rStyle w:val="260"/>
                <w:rFonts w:hint="default"/>
                <w:sz w:val="22"/>
                <w:szCs w:val="22"/>
                <w:lang w:bidi="ar"/>
              </w:rPr>
              <w:t>（投标文件中提供相关证明材料复印件加盖公章，否则不得分。）</w:t>
            </w:r>
          </w:p>
        </w:tc>
        <w:tc>
          <w:tcPr>
            <w:tcW w:w="789" w:type="dxa"/>
            <w:tcBorders>
              <w:top w:val="single" w:color="000000" w:sz="4" w:space="0"/>
              <w:left w:val="single" w:color="000000" w:sz="4" w:space="0"/>
              <w:bottom w:val="single" w:color="000000" w:sz="4" w:space="0"/>
              <w:right w:val="single" w:color="000000" w:sz="4" w:space="0"/>
            </w:tcBorders>
            <w:vAlign w:val="center"/>
          </w:tcPr>
          <w:p w14:paraId="7EC6557C">
            <w:pPr>
              <w:widowControl/>
              <w:spacing w:line="360" w:lineRule="auto"/>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w:t>
            </w:r>
          </w:p>
        </w:tc>
      </w:tr>
      <w:tr w14:paraId="74728037">
        <w:tblPrEx>
          <w:tblCellMar>
            <w:top w:w="0" w:type="dxa"/>
            <w:left w:w="108" w:type="dxa"/>
            <w:bottom w:w="0" w:type="dxa"/>
            <w:right w:w="108" w:type="dxa"/>
          </w:tblCellMar>
        </w:tblPrEx>
        <w:trPr>
          <w:jc w:val="center"/>
        </w:trPr>
        <w:tc>
          <w:tcPr>
            <w:tcW w:w="730" w:type="dxa"/>
            <w:tcBorders>
              <w:top w:val="single" w:color="000000" w:sz="4" w:space="0"/>
              <w:left w:val="single" w:color="000000" w:sz="4" w:space="0"/>
              <w:bottom w:val="single" w:color="000000" w:sz="4" w:space="0"/>
              <w:right w:val="single" w:color="000000" w:sz="4" w:space="0"/>
            </w:tcBorders>
            <w:vAlign w:val="center"/>
          </w:tcPr>
          <w:p w14:paraId="0566DB2D">
            <w:pPr>
              <w:widowControl/>
              <w:spacing w:line="360" w:lineRule="auto"/>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4</w:t>
            </w:r>
          </w:p>
        </w:tc>
        <w:tc>
          <w:tcPr>
            <w:tcW w:w="1890" w:type="dxa"/>
            <w:tcBorders>
              <w:top w:val="single" w:color="000000" w:sz="4" w:space="0"/>
              <w:left w:val="single" w:color="000000" w:sz="4" w:space="0"/>
              <w:bottom w:val="nil"/>
              <w:right w:val="single" w:color="000000" w:sz="4" w:space="0"/>
            </w:tcBorders>
            <w:vAlign w:val="center"/>
          </w:tcPr>
          <w:p w14:paraId="55F2FE0D">
            <w:pPr>
              <w:widowControl/>
              <w:spacing w:line="360" w:lineRule="auto"/>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荣誉</w:t>
            </w:r>
          </w:p>
        </w:tc>
        <w:tc>
          <w:tcPr>
            <w:tcW w:w="6229" w:type="dxa"/>
            <w:tcBorders>
              <w:top w:val="single" w:color="000000" w:sz="4" w:space="0"/>
              <w:left w:val="single" w:color="000000" w:sz="4" w:space="0"/>
              <w:bottom w:val="nil"/>
              <w:right w:val="single" w:color="000000" w:sz="4" w:space="0"/>
            </w:tcBorders>
            <w:vAlign w:val="center"/>
          </w:tcPr>
          <w:p w14:paraId="6609151B">
            <w:pPr>
              <w:widowControl/>
              <w:spacing w:line="360" w:lineRule="auto"/>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投标人2021年1月1日至今获得市级及以上行政主管部门颁发的相关荣誉，每项得1分，此项最高</w:t>
            </w:r>
            <w:r>
              <w:rPr>
                <w:rFonts w:hint="eastAsia" w:ascii="宋体" w:hAnsi="宋体" w:cs="宋体"/>
                <w:color w:val="000000"/>
                <w:kern w:val="0"/>
                <w:sz w:val="22"/>
                <w:szCs w:val="22"/>
                <w:lang w:val="en-US" w:eastAsia="zh-CN" w:bidi="ar"/>
              </w:rPr>
              <w:t>3</w:t>
            </w:r>
            <w:r>
              <w:rPr>
                <w:rFonts w:hint="eastAsia" w:ascii="宋体" w:hAnsi="宋体" w:cs="宋体"/>
                <w:color w:val="000000"/>
                <w:kern w:val="0"/>
                <w:sz w:val="22"/>
                <w:szCs w:val="22"/>
                <w:lang w:bidi="ar"/>
              </w:rPr>
              <w:t>分</w:t>
            </w:r>
            <w:r>
              <w:rPr>
                <w:rStyle w:val="260"/>
                <w:rFonts w:hint="default"/>
                <w:sz w:val="22"/>
                <w:szCs w:val="22"/>
                <w:lang w:bidi="ar"/>
              </w:rPr>
              <w:t>（投标文件中提供相关证明材料复印件加盖公章，否则不得分。）</w:t>
            </w:r>
          </w:p>
        </w:tc>
        <w:tc>
          <w:tcPr>
            <w:tcW w:w="789" w:type="dxa"/>
            <w:tcBorders>
              <w:top w:val="single" w:color="000000" w:sz="4" w:space="0"/>
              <w:left w:val="single" w:color="000000" w:sz="4" w:space="0"/>
              <w:bottom w:val="single" w:color="000000" w:sz="4" w:space="0"/>
              <w:right w:val="single" w:color="000000" w:sz="4" w:space="0"/>
            </w:tcBorders>
            <w:vAlign w:val="center"/>
          </w:tcPr>
          <w:p w14:paraId="057BAB97">
            <w:pPr>
              <w:widowControl/>
              <w:spacing w:line="360" w:lineRule="auto"/>
              <w:jc w:val="center"/>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val="en-US" w:eastAsia="zh-CN" w:bidi="ar"/>
              </w:rPr>
              <w:t>3</w:t>
            </w:r>
          </w:p>
        </w:tc>
      </w:tr>
      <w:tr w14:paraId="5C16BB02">
        <w:tblPrEx>
          <w:tblCellMar>
            <w:top w:w="0" w:type="dxa"/>
            <w:left w:w="108" w:type="dxa"/>
            <w:bottom w:w="0" w:type="dxa"/>
            <w:right w:w="108" w:type="dxa"/>
          </w:tblCellMar>
        </w:tblPrEx>
        <w:trPr>
          <w:jc w:val="center"/>
        </w:trPr>
        <w:tc>
          <w:tcPr>
            <w:tcW w:w="730" w:type="dxa"/>
            <w:tcBorders>
              <w:top w:val="single" w:color="000000" w:sz="4" w:space="0"/>
              <w:left w:val="single" w:color="000000" w:sz="4" w:space="0"/>
              <w:bottom w:val="single" w:color="000000" w:sz="4" w:space="0"/>
              <w:right w:val="single" w:color="000000" w:sz="4" w:space="0"/>
            </w:tcBorders>
            <w:vAlign w:val="center"/>
          </w:tcPr>
          <w:p w14:paraId="67ADBF4E">
            <w:pPr>
              <w:widowControl/>
              <w:spacing w:line="360" w:lineRule="auto"/>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5</w:t>
            </w:r>
          </w:p>
        </w:tc>
        <w:tc>
          <w:tcPr>
            <w:tcW w:w="1890" w:type="dxa"/>
            <w:vMerge w:val="restart"/>
            <w:tcBorders>
              <w:top w:val="single" w:color="000000" w:sz="4" w:space="0"/>
              <w:left w:val="single" w:color="000000" w:sz="4" w:space="0"/>
              <w:bottom w:val="single" w:color="000000" w:sz="4" w:space="0"/>
              <w:right w:val="single" w:color="000000" w:sz="4" w:space="0"/>
            </w:tcBorders>
            <w:vAlign w:val="center"/>
          </w:tcPr>
          <w:p w14:paraId="0F9100F6">
            <w:pPr>
              <w:widowControl/>
              <w:spacing w:line="360" w:lineRule="auto"/>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项目团队</w:t>
            </w:r>
          </w:p>
        </w:tc>
        <w:tc>
          <w:tcPr>
            <w:tcW w:w="6229" w:type="dxa"/>
            <w:tcBorders>
              <w:top w:val="single" w:color="000000" w:sz="4" w:space="0"/>
              <w:left w:val="single" w:color="000000" w:sz="4" w:space="0"/>
              <w:bottom w:val="single" w:color="000000" w:sz="4" w:space="0"/>
              <w:right w:val="single" w:color="000000" w:sz="4" w:space="0"/>
            </w:tcBorders>
            <w:vAlign w:val="center"/>
          </w:tcPr>
          <w:p w14:paraId="48DE86E1">
            <w:pPr>
              <w:widowControl/>
              <w:spacing w:line="360" w:lineRule="auto"/>
              <w:textAlignment w:val="center"/>
              <w:rPr>
                <w:rFonts w:hint="eastAsia" w:ascii="宋体" w:hAnsi="宋体" w:cs="宋体"/>
                <w:b/>
                <w:bCs/>
                <w:color w:val="000000"/>
                <w:sz w:val="22"/>
                <w:szCs w:val="22"/>
                <w:highlight w:val="yellow"/>
              </w:rPr>
            </w:pPr>
            <w:r>
              <w:rPr>
                <w:rFonts w:hint="eastAsia" w:ascii="宋体" w:hAnsi="宋体" w:cs="宋体"/>
                <w:b/>
                <w:bCs/>
                <w:color w:val="000000"/>
                <w:kern w:val="0"/>
                <w:sz w:val="22"/>
                <w:szCs w:val="22"/>
                <w:highlight w:val="yellow"/>
                <w:lang w:bidi="ar"/>
              </w:rPr>
              <w:t>拟派项目经理</w:t>
            </w:r>
            <w:r>
              <w:rPr>
                <w:rFonts w:hint="eastAsia" w:ascii="宋体" w:hAnsi="宋体" w:cs="宋体"/>
                <w:b/>
                <w:bCs/>
                <w:color w:val="000000"/>
                <w:kern w:val="0"/>
                <w:sz w:val="22"/>
                <w:szCs w:val="22"/>
                <w:highlight w:val="yellow"/>
                <w:lang w:eastAsia="zh-CN" w:bidi="ar"/>
              </w:rPr>
              <w:t>（</w:t>
            </w:r>
            <w:r>
              <w:rPr>
                <w:rFonts w:hint="eastAsia" w:ascii="宋体" w:hAnsi="宋体" w:cs="宋体"/>
                <w:b/>
                <w:bCs/>
                <w:color w:val="000000"/>
                <w:kern w:val="0"/>
                <w:sz w:val="22"/>
                <w:szCs w:val="22"/>
                <w:highlight w:val="yellow"/>
                <w:lang w:val="en-US" w:eastAsia="zh-CN" w:bidi="ar"/>
              </w:rPr>
              <w:t>不含在总人数中</w:t>
            </w:r>
            <w:r>
              <w:rPr>
                <w:rFonts w:hint="eastAsia" w:ascii="宋体" w:hAnsi="宋体" w:cs="宋体"/>
                <w:b/>
                <w:bCs/>
                <w:color w:val="000000"/>
                <w:kern w:val="0"/>
                <w:sz w:val="22"/>
                <w:szCs w:val="22"/>
                <w:highlight w:val="yellow"/>
                <w:lang w:eastAsia="zh-CN" w:bidi="ar"/>
              </w:rPr>
              <w:t>）</w:t>
            </w:r>
            <w:r>
              <w:rPr>
                <w:rFonts w:hint="eastAsia" w:ascii="宋体" w:hAnsi="宋体" w:cs="宋体"/>
                <w:b/>
                <w:bCs/>
                <w:color w:val="000000"/>
                <w:kern w:val="0"/>
                <w:sz w:val="22"/>
                <w:szCs w:val="22"/>
                <w:highlight w:val="yellow"/>
                <w:lang w:bidi="ar"/>
              </w:rPr>
              <w:t>：</w:t>
            </w:r>
            <w:r>
              <w:rPr>
                <w:rFonts w:hint="eastAsia" w:ascii="宋体" w:hAnsi="宋体" w:cs="宋体"/>
                <w:b/>
                <w:bCs/>
                <w:color w:val="000000"/>
                <w:kern w:val="0"/>
                <w:sz w:val="22"/>
                <w:szCs w:val="22"/>
                <w:highlight w:val="yellow"/>
                <w:lang w:bidi="ar"/>
              </w:rPr>
              <w:br w:type="textWrapping"/>
            </w:r>
            <w:r>
              <w:rPr>
                <w:rStyle w:val="241"/>
                <w:rFonts w:hint="default"/>
                <w:sz w:val="22"/>
                <w:szCs w:val="22"/>
                <w:highlight w:val="yellow"/>
                <w:lang w:bidi="ar"/>
              </w:rPr>
              <w:t>1.年龄45周岁及以下，得1分；</w:t>
            </w:r>
            <w:r>
              <w:rPr>
                <w:rStyle w:val="241"/>
                <w:rFonts w:hint="default"/>
                <w:sz w:val="22"/>
                <w:szCs w:val="22"/>
                <w:highlight w:val="yellow"/>
                <w:lang w:bidi="ar"/>
              </w:rPr>
              <w:br w:type="textWrapping"/>
            </w:r>
            <w:r>
              <w:rPr>
                <w:rStyle w:val="241"/>
                <w:rFonts w:hint="default"/>
                <w:sz w:val="22"/>
                <w:szCs w:val="22"/>
                <w:highlight w:val="yellow"/>
                <w:lang w:bidi="ar"/>
              </w:rPr>
              <w:t>2.具有本科及以上学历，得1分；</w:t>
            </w:r>
            <w:r>
              <w:rPr>
                <w:rStyle w:val="241"/>
                <w:rFonts w:hint="default"/>
                <w:sz w:val="22"/>
                <w:szCs w:val="22"/>
                <w:highlight w:val="yellow"/>
                <w:lang w:bidi="ar"/>
              </w:rPr>
              <w:br w:type="textWrapping"/>
            </w:r>
            <w:r>
              <w:rPr>
                <w:rStyle w:val="241"/>
                <w:rFonts w:hint="default"/>
                <w:sz w:val="22"/>
                <w:szCs w:val="22"/>
                <w:highlight w:val="yellow"/>
                <w:lang w:bidi="ar"/>
              </w:rPr>
              <w:t>3.具有高级物业管理师（高级技师）及以上证书，得1分；</w:t>
            </w:r>
            <w:r>
              <w:rPr>
                <w:rStyle w:val="241"/>
                <w:rFonts w:hint="default"/>
                <w:sz w:val="22"/>
                <w:szCs w:val="22"/>
                <w:highlight w:val="yellow"/>
                <w:lang w:bidi="ar"/>
              </w:rPr>
              <w:br w:type="textWrapping"/>
            </w:r>
            <w:r>
              <w:rPr>
                <w:rStyle w:val="241"/>
                <w:rFonts w:hint="default"/>
                <w:sz w:val="22"/>
                <w:szCs w:val="22"/>
                <w:highlight w:val="yellow"/>
                <w:lang w:bidi="ar"/>
              </w:rPr>
              <w:t>4.具有保安员二级（技师）及以上证书，得1分；</w:t>
            </w:r>
            <w:r>
              <w:rPr>
                <w:rStyle w:val="241"/>
                <w:rFonts w:hint="default"/>
                <w:sz w:val="22"/>
                <w:szCs w:val="22"/>
                <w:highlight w:val="yellow"/>
                <w:lang w:bidi="ar"/>
              </w:rPr>
              <w:br w:type="textWrapping"/>
            </w:r>
            <w:r>
              <w:rPr>
                <w:rStyle w:val="241"/>
                <w:rFonts w:hint="default"/>
                <w:sz w:val="22"/>
                <w:szCs w:val="22"/>
                <w:highlight w:val="yellow"/>
                <w:lang w:bidi="ar"/>
              </w:rPr>
              <w:t>5.具有消防设施操作员（或建（构）筑物消防员）中级（四级）及以上证书，得1分。</w:t>
            </w:r>
            <w:r>
              <w:rPr>
                <w:rStyle w:val="241"/>
                <w:rFonts w:hint="default"/>
                <w:sz w:val="22"/>
                <w:szCs w:val="22"/>
                <w:highlight w:val="yellow"/>
                <w:lang w:bidi="ar"/>
              </w:rPr>
              <w:br w:type="textWrapping"/>
            </w:r>
            <w:r>
              <w:rPr>
                <w:rStyle w:val="241"/>
                <w:rFonts w:hint="default"/>
                <w:sz w:val="22"/>
                <w:szCs w:val="22"/>
                <w:highlight w:val="yellow"/>
                <w:lang w:bidi="ar"/>
              </w:rPr>
              <w:t>证明材料：身份证明、学历证明等各项证明材料及近三个月的社保缴纳证明，所有材料复印件加盖投标人电子签名或公章，不提供不得分。</w:t>
            </w:r>
          </w:p>
        </w:tc>
        <w:tc>
          <w:tcPr>
            <w:tcW w:w="789" w:type="dxa"/>
            <w:tcBorders>
              <w:top w:val="single" w:color="000000" w:sz="4" w:space="0"/>
              <w:left w:val="single" w:color="000000" w:sz="4" w:space="0"/>
              <w:bottom w:val="single" w:color="000000" w:sz="4" w:space="0"/>
              <w:right w:val="single" w:color="000000" w:sz="4" w:space="0"/>
            </w:tcBorders>
            <w:vAlign w:val="center"/>
          </w:tcPr>
          <w:p w14:paraId="1BE93158">
            <w:pPr>
              <w:widowControl/>
              <w:spacing w:line="360" w:lineRule="auto"/>
              <w:jc w:val="center"/>
              <w:textAlignment w:val="center"/>
              <w:rPr>
                <w:rFonts w:hint="eastAsia" w:ascii="宋体" w:hAnsi="宋体" w:cs="宋体"/>
                <w:color w:val="000000"/>
                <w:sz w:val="22"/>
                <w:szCs w:val="22"/>
                <w:highlight w:val="yellow"/>
              </w:rPr>
            </w:pPr>
            <w:r>
              <w:rPr>
                <w:rFonts w:hint="eastAsia" w:ascii="宋体" w:hAnsi="宋体" w:cs="宋体"/>
                <w:color w:val="000000"/>
                <w:kern w:val="0"/>
                <w:sz w:val="22"/>
                <w:szCs w:val="22"/>
                <w:highlight w:val="yellow"/>
                <w:lang w:bidi="ar"/>
              </w:rPr>
              <w:t>5</w:t>
            </w:r>
          </w:p>
        </w:tc>
      </w:tr>
      <w:tr w14:paraId="2CC0CC75">
        <w:tblPrEx>
          <w:tblCellMar>
            <w:top w:w="0" w:type="dxa"/>
            <w:left w:w="108" w:type="dxa"/>
            <w:bottom w:w="0" w:type="dxa"/>
            <w:right w:w="108" w:type="dxa"/>
          </w:tblCellMar>
        </w:tblPrEx>
        <w:trPr>
          <w:jc w:val="center"/>
        </w:trPr>
        <w:tc>
          <w:tcPr>
            <w:tcW w:w="730" w:type="dxa"/>
            <w:tcBorders>
              <w:top w:val="single" w:color="000000" w:sz="4" w:space="0"/>
              <w:left w:val="single" w:color="000000" w:sz="4" w:space="0"/>
              <w:bottom w:val="single" w:color="000000" w:sz="4" w:space="0"/>
              <w:right w:val="single" w:color="000000" w:sz="4" w:space="0"/>
            </w:tcBorders>
            <w:vAlign w:val="center"/>
          </w:tcPr>
          <w:p w14:paraId="316AC9CC">
            <w:pPr>
              <w:widowControl/>
              <w:spacing w:line="360" w:lineRule="auto"/>
              <w:jc w:val="center"/>
              <w:textAlignment w:val="center"/>
              <w:rPr>
                <w:rFonts w:hint="eastAsia" w:ascii="宋体" w:hAnsi="宋体" w:cs="宋体"/>
                <w:color w:val="000000"/>
                <w:kern w:val="0"/>
                <w:sz w:val="22"/>
                <w:szCs w:val="22"/>
                <w:lang w:bidi="ar"/>
              </w:rPr>
            </w:pPr>
          </w:p>
        </w:tc>
        <w:tc>
          <w:tcPr>
            <w:tcW w:w="1890" w:type="dxa"/>
            <w:vMerge w:val="continue"/>
            <w:tcBorders>
              <w:top w:val="single" w:color="000000" w:sz="4" w:space="0"/>
              <w:left w:val="single" w:color="000000" w:sz="4" w:space="0"/>
              <w:bottom w:val="single" w:color="000000" w:sz="4" w:space="0"/>
              <w:right w:val="single" w:color="000000" w:sz="4" w:space="0"/>
            </w:tcBorders>
            <w:vAlign w:val="center"/>
          </w:tcPr>
          <w:p w14:paraId="4D263457">
            <w:pPr>
              <w:widowControl/>
              <w:spacing w:line="360" w:lineRule="auto"/>
              <w:jc w:val="center"/>
              <w:rPr>
                <w:rFonts w:hint="eastAsia" w:ascii="宋体" w:hAnsi="宋体" w:cs="宋体"/>
                <w:color w:val="000000"/>
                <w:sz w:val="22"/>
                <w:szCs w:val="22"/>
              </w:rPr>
            </w:pPr>
          </w:p>
        </w:tc>
        <w:tc>
          <w:tcPr>
            <w:tcW w:w="62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8C7E95">
            <w:pPr>
              <w:widowControl/>
              <w:spacing w:line="360" w:lineRule="auto"/>
              <w:textAlignment w:val="center"/>
              <w:rPr>
                <w:rFonts w:hint="eastAsia" w:ascii="宋体" w:hAnsi="宋体" w:cs="宋体"/>
                <w:b/>
                <w:bCs/>
                <w:color w:val="000000"/>
                <w:kern w:val="0"/>
                <w:sz w:val="22"/>
                <w:szCs w:val="22"/>
                <w:highlight w:val="yellow"/>
                <w:lang w:val="en-US" w:eastAsia="zh-CN" w:bidi="ar"/>
              </w:rPr>
            </w:pPr>
            <w:r>
              <w:rPr>
                <w:rFonts w:hint="eastAsia" w:ascii="宋体" w:hAnsi="宋体" w:cs="宋体"/>
                <w:b/>
                <w:bCs/>
                <w:color w:val="000000"/>
                <w:kern w:val="0"/>
                <w:sz w:val="22"/>
                <w:szCs w:val="22"/>
                <w:highlight w:val="yellow"/>
                <w:lang w:val="en-US" w:eastAsia="zh-CN" w:bidi="ar"/>
              </w:rPr>
              <w:t>团队人员符合程度：</w:t>
            </w:r>
          </w:p>
          <w:p w14:paraId="34A9AB94">
            <w:pPr>
              <w:widowControl/>
              <w:spacing w:line="360" w:lineRule="auto"/>
              <w:textAlignment w:val="center"/>
              <w:rPr>
                <w:rStyle w:val="241"/>
                <w:rFonts w:hint="eastAsia"/>
                <w:kern w:val="2"/>
                <w:sz w:val="22"/>
                <w:szCs w:val="22"/>
                <w:highlight w:val="yellow"/>
                <w:lang w:val="en-US" w:eastAsia="zh-CN" w:bidi="ar"/>
              </w:rPr>
            </w:pPr>
            <w:r>
              <w:rPr>
                <w:rStyle w:val="241"/>
                <w:rFonts w:hint="eastAsia"/>
                <w:kern w:val="2"/>
                <w:sz w:val="22"/>
                <w:szCs w:val="22"/>
                <w:highlight w:val="yellow"/>
                <w:lang w:val="en-US" w:eastAsia="zh-CN" w:bidi="ar"/>
              </w:rPr>
              <w:t>供应商拟派人员全部符合采购需求得5分，不符合得0分。</w:t>
            </w:r>
          </w:p>
          <w:p w14:paraId="5CC87567">
            <w:pPr>
              <w:widowControl/>
              <w:spacing w:line="360" w:lineRule="auto"/>
              <w:textAlignment w:val="center"/>
              <w:rPr>
                <w:rFonts w:hint="default"/>
                <w:highlight w:val="yellow"/>
                <w:lang w:val="en-US" w:eastAsia="zh-CN"/>
              </w:rPr>
            </w:pPr>
            <w:r>
              <w:rPr>
                <w:rStyle w:val="241"/>
                <w:rFonts w:hint="eastAsia"/>
                <w:kern w:val="2"/>
                <w:sz w:val="22"/>
                <w:szCs w:val="22"/>
                <w:highlight w:val="yellow"/>
                <w:lang w:val="en-US" w:eastAsia="zh-CN" w:bidi="ar"/>
              </w:rPr>
              <w:t>证明材料：提供承诺函。</w:t>
            </w:r>
          </w:p>
        </w:tc>
        <w:tc>
          <w:tcPr>
            <w:tcW w:w="789" w:type="dxa"/>
            <w:tcBorders>
              <w:top w:val="single" w:color="000000" w:sz="4" w:space="0"/>
              <w:left w:val="single" w:color="000000" w:sz="4" w:space="0"/>
              <w:bottom w:val="single" w:color="000000" w:sz="4" w:space="0"/>
              <w:right w:val="single" w:color="000000" w:sz="4" w:space="0"/>
            </w:tcBorders>
            <w:vAlign w:val="center"/>
          </w:tcPr>
          <w:p w14:paraId="3006869A">
            <w:pPr>
              <w:widowControl/>
              <w:spacing w:line="360" w:lineRule="auto"/>
              <w:jc w:val="center"/>
              <w:textAlignment w:val="center"/>
              <w:rPr>
                <w:rFonts w:hint="default" w:ascii="宋体" w:hAnsi="宋体" w:cs="宋体"/>
                <w:color w:val="000000"/>
                <w:kern w:val="0"/>
                <w:sz w:val="22"/>
                <w:szCs w:val="22"/>
                <w:highlight w:val="yellow"/>
                <w:lang w:val="en-US" w:eastAsia="zh-CN" w:bidi="ar"/>
              </w:rPr>
            </w:pPr>
            <w:r>
              <w:rPr>
                <w:rFonts w:hint="eastAsia" w:ascii="宋体" w:hAnsi="宋体" w:cs="宋体"/>
                <w:color w:val="000000"/>
                <w:kern w:val="0"/>
                <w:sz w:val="22"/>
                <w:szCs w:val="22"/>
                <w:highlight w:val="yellow"/>
                <w:lang w:val="en-US" w:eastAsia="zh-CN" w:bidi="ar"/>
              </w:rPr>
              <w:t>5</w:t>
            </w:r>
          </w:p>
        </w:tc>
      </w:tr>
      <w:tr w14:paraId="5804612A">
        <w:tblPrEx>
          <w:tblCellMar>
            <w:top w:w="0" w:type="dxa"/>
            <w:left w:w="108" w:type="dxa"/>
            <w:bottom w:w="0" w:type="dxa"/>
            <w:right w:w="108" w:type="dxa"/>
          </w:tblCellMar>
        </w:tblPrEx>
        <w:trPr>
          <w:jc w:val="center"/>
        </w:trPr>
        <w:tc>
          <w:tcPr>
            <w:tcW w:w="730" w:type="dxa"/>
            <w:tcBorders>
              <w:top w:val="single" w:color="000000" w:sz="4" w:space="0"/>
              <w:left w:val="single" w:color="000000" w:sz="4" w:space="0"/>
              <w:bottom w:val="single" w:color="000000" w:sz="4" w:space="0"/>
              <w:right w:val="single" w:color="000000" w:sz="4" w:space="0"/>
            </w:tcBorders>
            <w:vAlign w:val="center"/>
          </w:tcPr>
          <w:p w14:paraId="46EF8ACD">
            <w:pPr>
              <w:widowControl/>
              <w:spacing w:line="360" w:lineRule="auto"/>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10</w:t>
            </w:r>
          </w:p>
        </w:tc>
        <w:tc>
          <w:tcPr>
            <w:tcW w:w="1890" w:type="dxa"/>
            <w:vMerge w:val="continue"/>
            <w:tcBorders>
              <w:top w:val="single" w:color="000000" w:sz="4" w:space="0"/>
              <w:left w:val="single" w:color="000000" w:sz="4" w:space="0"/>
              <w:bottom w:val="single" w:color="000000" w:sz="4" w:space="0"/>
              <w:right w:val="single" w:color="000000" w:sz="4" w:space="0"/>
            </w:tcBorders>
            <w:vAlign w:val="center"/>
          </w:tcPr>
          <w:p w14:paraId="6EACC611">
            <w:pPr>
              <w:widowControl/>
              <w:spacing w:line="360" w:lineRule="auto"/>
              <w:jc w:val="center"/>
              <w:rPr>
                <w:rFonts w:hint="eastAsia" w:ascii="宋体" w:hAnsi="宋体" w:cs="宋体"/>
                <w:color w:val="000000"/>
                <w:sz w:val="22"/>
                <w:szCs w:val="22"/>
              </w:rPr>
            </w:pPr>
          </w:p>
        </w:tc>
        <w:tc>
          <w:tcPr>
            <w:tcW w:w="62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377415">
            <w:pPr>
              <w:widowControl/>
              <w:spacing w:line="360" w:lineRule="auto"/>
              <w:textAlignment w:val="center"/>
              <w:rPr>
                <w:rFonts w:hint="eastAsia" w:ascii="宋体" w:hAnsi="宋体" w:cs="宋体"/>
                <w:b/>
                <w:bCs/>
                <w:color w:val="000000"/>
                <w:sz w:val="22"/>
                <w:szCs w:val="22"/>
                <w:highlight w:val="yellow"/>
              </w:rPr>
            </w:pPr>
            <w:r>
              <w:rPr>
                <w:rFonts w:hint="eastAsia" w:ascii="宋体" w:hAnsi="宋体" w:cs="宋体"/>
                <w:b/>
                <w:bCs/>
                <w:color w:val="000000"/>
                <w:kern w:val="0"/>
                <w:sz w:val="22"/>
                <w:szCs w:val="22"/>
                <w:highlight w:val="yellow"/>
                <w:lang w:bidi="ar"/>
              </w:rPr>
              <w:t>员工稳定性措施及团队日常管理规范:</w:t>
            </w:r>
            <w:r>
              <w:rPr>
                <w:rFonts w:hint="eastAsia" w:ascii="宋体" w:hAnsi="宋体" w:cs="宋体"/>
                <w:b/>
                <w:bCs/>
                <w:color w:val="000000"/>
                <w:kern w:val="0"/>
                <w:sz w:val="22"/>
                <w:szCs w:val="22"/>
                <w:highlight w:val="yellow"/>
                <w:lang w:bidi="ar"/>
              </w:rPr>
              <w:br w:type="textWrapping"/>
            </w:r>
            <w:r>
              <w:rPr>
                <w:rStyle w:val="241"/>
                <w:rFonts w:hint="default"/>
                <w:sz w:val="22"/>
                <w:szCs w:val="22"/>
                <w:highlight w:val="yellow"/>
                <w:lang w:bidi="ar"/>
              </w:rPr>
              <w:t>员工保障稳定性的措施方案及人员管理规范:穿戴统一制服，装备佩戴规范，文明执勤等方案详细完善、满足采购需求的视为符合。</w:t>
            </w:r>
            <w:r>
              <w:rPr>
                <w:rFonts w:hint="eastAsia" w:ascii="宋体" w:hAnsi="宋体" w:cs="宋体"/>
                <w:color w:val="000000"/>
                <w:kern w:val="0"/>
                <w:sz w:val="22"/>
                <w:szCs w:val="22"/>
                <w:highlight w:val="yellow"/>
                <w:lang w:bidi="ar"/>
              </w:rPr>
              <w:t>（符合得</w:t>
            </w:r>
            <w:r>
              <w:rPr>
                <w:rFonts w:hint="eastAsia" w:ascii="宋体" w:hAnsi="宋体" w:cs="宋体"/>
                <w:color w:val="000000"/>
                <w:kern w:val="0"/>
                <w:sz w:val="22"/>
                <w:szCs w:val="22"/>
                <w:highlight w:val="yellow"/>
                <w:lang w:val="en-US" w:eastAsia="zh-CN" w:bidi="ar"/>
              </w:rPr>
              <w:t>2</w:t>
            </w:r>
            <w:r>
              <w:rPr>
                <w:rFonts w:hint="eastAsia" w:ascii="宋体" w:hAnsi="宋体" w:cs="宋体"/>
                <w:color w:val="000000"/>
                <w:kern w:val="0"/>
                <w:sz w:val="22"/>
                <w:szCs w:val="22"/>
                <w:highlight w:val="yellow"/>
                <w:lang w:bidi="ar"/>
              </w:rPr>
              <w:t>分，部分符合得1分，不符合不得分）</w:t>
            </w:r>
          </w:p>
        </w:tc>
        <w:tc>
          <w:tcPr>
            <w:tcW w:w="789" w:type="dxa"/>
            <w:tcBorders>
              <w:top w:val="single" w:color="000000" w:sz="4" w:space="0"/>
              <w:left w:val="single" w:color="000000" w:sz="4" w:space="0"/>
              <w:bottom w:val="single" w:color="000000" w:sz="4" w:space="0"/>
              <w:right w:val="single" w:color="000000" w:sz="4" w:space="0"/>
            </w:tcBorders>
            <w:vAlign w:val="center"/>
          </w:tcPr>
          <w:p w14:paraId="6B6D37D9">
            <w:pPr>
              <w:widowControl/>
              <w:spacing w:line="360" w:lineRule="auto"/>
              <w:jc w:val="center"/>
              <w:textAlignment w:val="center"/>
              <w:rPr>
                <w:rFonts w:hint="eastAsia" w:ascii="宋体" w:hAnsi="宋体" w:eastAsia="宋体" w:cs="宋体"/>
                <w:color w:val="000000"/>
                <w:sz w:val="22"/>
                <w:szCs w:val="22"/>
                <w:highlight w:val="yellow"/>
                <w:lang w:eastAsia="zh-CN"/>
              </w:rPr>
            </w:pPr>
            <w:r>
              <w:rPr>
                <w:rFonts w:hint="eastAsia" w:ascii="宋体" w:hAnsi="宋体" w:cs="宋体"/>
                <w:color w:val="000000"/>
                <w:kern w:val="0"/>
                <w:sz w:val="22"/>
                <w:szCs w:val="22"/>
                <w:highlight w:val="yellow"/>
                <w:lang w:val="en-US" w:eastAsia="zh-CN" w:bidi="ar"/>
              </w:rPr>
              <w:t>2</w:t>
            </w:r>
          </w:p>
        </w:tc>
      </w:tr>
      <w:tr w14:paraId="78BB231F">
        <w:tblPrEx>
          <w:tblCellMar>
            <w:top w:w="0" w:type="dxa"/>
            <w:left w:w="108" w:type="dxa"/>
            <w:bottom w:w="0" w:type="dxa"/>
            <w:right w:w="108" w:type="dxa"/>
          </w:tblCellMar>
        </w:tblPrEx>
        <w:trPr>
          <w:jc w:val="center"/>
        </w:trPr>
        <w:tc>
          <w:tcPr>
            <w:tcW w:w="730" w:type="dxa"/>
            <w:tcBorders>
              <w:top w:val="single" w:color="000000" w:sz="4" w:space="0"/>
              <w:left w:val="single" w:color="000000" w:sz="4" w:space="0"/>
              <w:bottom w:val="single" w:color="000000" w:sz="4" w:space="0"/>
              <w:right w:val="single" w:color="000000" w:sz="4" w:space="0"/>
            </w:tcBorders>
            <w:vAlign w:val="center"/>
          </w:tcPr>
          <w:p w14:paraId="3B10604D">
            <w:pPr>
              <w:widowControl/>
              <w:spacing w:line="360" w:lineRule="auto"/>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12</w:t>
            </w:r>
          </w:p>
        </w:tc>
        <w:tc>
          <w:tcPr>
            <w:tcW w:w="1890" w:type="dxa"/>
            <w:tcBorders>
              <w:top w:val="single" w:color="000000" w:sz="4" w:space="0"/>
              <w:left w:val="single" w:color="000000" w:sz="4" w:space="0"/>
              <w:bottom w:val="single" w:color="000000" w:sz="4" w:space="0"/>
              <w:right w:val="single" w:color="000000" w:sz="4" w:space="0"/>
            </w:tcBorders>
            <w:vAlign w:val="center"/>
          </w:tcPr>
          <w:p w14:paraId="7E4B2DDB">
            <w:pPr>
              <w:widowControl/>
              <w:spacing w:line="360" w:lineRule="auto"/>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服务方案</w:t>
            </w:r>
          </w:p>
        </w:tc>
        <w:tc>
          <w:tcPr>
            <w:tcW w:w="62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2B1A21">
            <w:pPr>
              <w:widowControl/>
              <w:spacing w:line="360" w:lineRule="auto"/>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1.清卫保洁服务方案；</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2.车辆管理服务方案；</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3.公寓管理服务方案；</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4.档案资料管理服务方案；</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5.信息化管理服务方案；</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（以上每项6分，根据方案内容与项目实际情况相符程度情况进行综合打分。）</w:t>
            </w:r>
          </w:p>
        </w:tc>
        <w:tc>
          <w:tcPr>
            <w:tcW w:w="789" w:type="dxa"/>
            <w:tcBorders>
              <w:top w:val="single" w:color="000000" w:sz="4" w:space="0"/>
              <w:left w:val="single" w:color="000000" w:sz="4" w:space="0"/>
              <w:bottom w:val="single" w:color="000000" w:sz="4" w:space="0"/>
              <w:right w:val="single" w:color="000000" w:sz="4" w:space="0"/>
            </w:tcBorders>
            <w:vAlign w:val="center"/>
          </w:tcPr>
          <w:p w14:paraId="0196294D">
            <w:pPr>
              <w:widowControl/>
              <w:spacing w:line="360" w:lineRule="auto"/>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30</w:t>
            </w:r>
          </w:p>
        </w:tc>
      </w:tr>
      <w:tr w14:paraId="37DE370F">
        <w:tblPrEx>
          <w:tblCellMar>
            <w:top w:w="0" w:type="dxa"/>
            <w:left w:w="108" w:type="dxa"/>
            <w:bottom w:w="0" w:type="dxa"/>
            <w:right w:w="108" w:type="dxa"/>
          </w:tblCellMar>
        </w:tblPrEx>
        <w:trPr>
          <w:jc w:val="center"/>
        </w:trPr>
        <w:tc>
          <w:tcPr>
            <w:tcW w:w="730" w:type="dxa"/>
            <w:tcBorders>
              <w:top w:val="single" w:color="000000" w:sz="4" w:space="0"/>
              <w:left w:val="single" w:color="000000" w:sz="4" w:space="0"/>
              <w:bottom w:val="single" w:color="000000" w:sz="4" w:space="0"/>
              <w:right w:val="single" w:color="000000" w:sz="4" w:space="0"/>
            </w:tcBorders>
            <w:vAlign w:val="center"/>
          </w:tcPr>
          <w:p w14:paraId="3E3F4649">
            <w:pPr>
              <w:widowControl/>
              <w:spacing w:line="360" w:lineRule="auto"/>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13</w:t>
            </w:r>
          </w:p>
        </w:tc>
        <w:tc>
          <w:tcPr>
            <w:tcW w:w="1890" w:type="dxa"/>
            <w:tcBorders>
              <w:top w:val="single" w:color="000000" w:sz="4" w:space="0"/>
              <w:left w:val="single" w:color="000000" w:sz="4" w:space="0"/>
              <w:bottom w:val="nil"/>
              <w:right w:val="single" w:color="000000" w:sz="4" w:space="0"/>
            </w:tcBorders>
            <w:shd w:val="clear" w:color="auto" w:fill="FFFFFF"/>
            <w:vAlign w:val="center"/>
          </w:tcPr>
          <w:p w14:paraId="1C7844CD">
            <w:pPr>
              <w:widowControl/>
              <w:spacing w:line="360" w:lineRule="auto"/>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物业管理服务理念、组织架构及管理制度情况</w:t>
            </w:r>
          </w:p>
        </w:tc>
        <w:tc>
          <w:tcPr>
            <w:tcW w:w="62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F41DA0">
            <w:pPr>
              <w:widowControl/>
              <w:spacing w:line="360" w:lineRule="auto"/>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1、有完善的组织架构，清晰简练地列出主要管理流程，包括运作流程图、激励机制、监督机制、自我约束机制、信息反馈渠道及处理机制，管理指标承诺达到采购人物业管理标准。</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注：各项内容完整且符合实际得</w:t>
            </w:r>
            <w:r>
              <w:rPr>
                <w:rFonts w:hint="eastAsia" w:ascii="宋体" w:hAnsi="宋体" w:cs="宋体"/>
                <w:color w:val="000000"/>
                <w:kern w:val="0"/>
                <w:sz w:val="22"/>
                <w:szCs w:val="22"/>
                <w:lang w:val="en-US" w:eastAsia="zh-CN" w:bidi="ar"/>
              </w:rPr>
              <w:t>4</w:t>
            </w:r>
            <w:r>
              <w:rPr>
                <w:rFonts w:hint="eastAsia" w:ascii="宋体" w:hAnsi="宋体" w:cs="宋体"/>
                <w:color w:val="000000"/>
                <w:kern w:val="0"/>
                <w:sz w:val="22"/>
                <w:szCs w:val="22"/>
                <w:lang w:bidi="ar"/>
              </w:rPr>
              <w:t>分，基本符合得1-</w:t>
            </w:r>
            <w:r>
              <w:rPr>
                <w:rFonts w:hint="eastAsia" w:ascii="宋体" w:hAnsi="宋体" w:cs="宋体"/>
                <w:color w:val="000000"/>
                <w:kern w:val="0"/>
                <w:sz w:val="22"/>
                <w:szCs w:val="22"/>
                <w:lang w:val="en-US" w:eastAsia="zh-CN" w:bidi="ar"/>
              </w:rPr>
              <w:t>3</w:t>
            </w:r>
            <w:r>
              <w:rPr>
                <w:rFonts w:hint="eastAsia" w:ascii="宋体" w:hAnsi="宋体" w:cs="宋体"/>
                <w:color w:val="000000"/>
                <w:kern w:val="0"/>
                <w:sz w:val="22"/>
                <w:szCs w:val="22"/>
                <w:lang w:bidi="ar"/>
              </w:rPr>
              <w:t>分，不符合不得分。</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2、有完善的物业管理制度、作业流程及工作计划及实施时间的得</w:t>
            </w:r>
            <w:r>
              <w:rPr>
                <w:rFonts w:hint="eastAsia" w:ascii="宋体" w:hAnsi="宋体" w:cs="宋体"/>
                <w:color w:val="000000"/>
                <w:kern w:val="0"/>
                <w:sz w:val="22"/>
                <w:szCs w:val="22"/>
                <w:lang w:val="en-US" w:eastAsia="zh-CN" w:bidi="ar"/>
              </w:rPr>
              <w:t>4</w:t>
            </w:r>
            <w:r>
              <w:rPr>
                <w:rFonts w:hint="eastAsia" w:ascii="宋体" w:hAnsi="宋体" w:cs="宋体"/>
                <w:color w:val="000000"/>
                <w:kern w:val="0"/>
                <w:sz w:val="22"/>
                <w:szCs w:val="22"/>
                <w:lang w:bidi="ar"/>
              </w:rPr>
              <w:t>分；部分符合得1-</w:t>
            </w:r>
            <w:r>
              <w:rPr>
                <w:rFonts w:hint="eastAsia" w:ascii="宋体" w:hAnsi="宋体" w:cs="宋体"/>
                <w:color w:val="000000"/>
                <w:kern w:val="0"/>
                <w:sz w:val="22"/>
                <w:szCs w:val="22"/>
                <w:lang w:val="en-US" w:eastAsia="zh-CN" w:bidi="ar"/>
              </w:rPr>
              <w:t>3</w:t>
            </w:r>
            <w:r>
              <w:rPr>
                <w:rFonts w:hint="eastAsia" w:ascii="宋体" w:hAnsi="宋体" w:cs="宋体"/>
                <w:color w:val="000000"/>
                <w:kern w:val="0"/>
                <w:sz w:val="22"/>
                <w:szCs w:val="22"/>
                <w:lang w:bidi="ar"/>
              </w:rPr>
              <w:t>分，不符合不得分。</w:t>
            </w:r>
          </w:p>
        </w:tc>
        <w:tc>
          <w:tcPr>
            <w:tcW w:w="7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2162F5">
            <w:pPr>
              <w:widowControl/>
              <w:spacing w:line="360" w:lineRule="auto"/>
              <w:jc w:val="center"/>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val="en-US" w:eastAsia="zh-CN" w:bidi="ar"/>
              </w:rPr>
              <w:t>8</w:t>
            </w:r>
          </w:p>
        </w:tc>
      </w:tr>
      <w:tr w14:paraId="4D6CD8B9">
        <w:tblPrEx>
          <w:tblCellMar>
            <w:top w:w="0" w:type="dxa"/>
            <w:left w:w="108" w:type="dxa"/>
            <w:bottom w:w="0" w:type="dxa"/>
            <w:right w:w="108" w:type="dxa"/>
          </w:tblCellMar>
        </w:tblPrEx>
        <w:trPr>
          <w:jc w:val="center"/>
        </w:trPr>
        <w:tc>
          <w:tcPr>
            <w:tcW w:w="730" w:type="dxa"/>
            <w:tcBorders>
              <w:top w:val="single" w:color="000000" w:sz="4" w:space="0"/>
              <w:left w:val="single" w:color="000000" w:sz="4" w:space="0"/>
              <w:bottom w:val="single" w:color="000000" w:sz="4" w:space="0"/>
              <w:right w:val="single" w:color="000000" w:sz="4" w:space="0"/>
            </w:tcBorders>
            <w:vAlign w:val="center"/>
          </w:tcPr>
          <w:p w14:paraId="62F2FD0F">
            <w:pPr>
              <w:widowControl/>
              <w:spacing w:line="360" w:lineRule="auto"/>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14</w:t>
            </w:r>
          </w:p>
        </w:tc>
        <w:tc>
          <w:tcPr>
            <w:tcW w:w="1890" w:type="dxa"/>
            <w:tcBorders>
              <w:top w:val="single" w:color="000000" w:sz="4" w:space="0"/>
              <w:left w:val="single" w:color="000000" w:sz="4" w:space="0"/>
              <w:bottom w:val="nil"/>
              <w:right w:val="single" w:color="000000" w:sz="4" w:space="0"/>
            </w:tcBorders>
            <w:shd w:val="clear" w:color="auto" w:fill="FFFFFF"/>
            <w:vAlign w:val="center"/>
          </w:tcPr>
          <w:p w14:paraId="1EE314A6">
            <w:pPr>
              <w:widowControl/>
              <w:spacing w:line="360" w:lineRule="auto"/>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质量考核办法及奖惩制度</w:t>
            </w:r>
          </w:p>
        </w:tc>
        <w:tc>
          <w:tcPr>
            <w:tcW w:w="62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9BE2E0">
            <w:pPr>
              <w:widowControl/>
              <w:spacing w:line="360" w:lineRule="auto"/>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投标人质量考核办法及奖惩制度的全面性、针对性及可行性进行评分（符合得</w:t>
            </w:r>
            <w:r>
              <w:rPr>
                <w:rFonts w:hint="eastAsia" w:ascii="宋体" w:hAnsi="宋体" w:cs="宋体"/>
                <w:color w:val="000000"/>
                <w:kern w:val="0"/>
                <w:sz w:val="22"/>
                <w:szCs w:val="22"/>
                <w:lang w:val="en-US" w:eastAsia="zh-CN" w:bidi="ar"/>
              </w:rPr>
              <w:t>5</w:t>
            </w:r>
            <w:r>
              <w:rPr>
                <w:rFonts w:hint="eastAsia" w:ascii="宋体" w:hAnsi="宋体" w:cs="宋体"/>
                <w:color w:val="000000"/>
                <w:kern w:val="0"/>
                <w:sz w:val="22"/>
                <w:szCs w:val="22"/>
                <w:lang w:bidi="ar"/>
              </w:rPr>
              <w:t>分，部分符合得1-</w:t>
            </w:r>
            <w:r>
              <w:rPr>
                <w:rFonts w:hint="eastAsia" w:ascii="宋体" w:hAnsi="宋体" w:cs="宋体"/>
                <w:color w:val="000000"/>
                <w:kern w:val="0"/>
                <w:sz w:val="22"/>
                <w:szCs w:val="22"/>
                <w:lang w:val="en-US" w:eastAsia="zh-CN" w:bidi="ar"/>
              </w:rPr>
              <w:t>4</w:t>
            </w:r>
            <w:r>
              <w:rPr>
                <w:rFonts w:hint="eastAsia" w:ascii="宋体" w:hAnsi="宋体" w:cs="宋体"/>
                <w:color w:val="000000"/>
                <w:kern w:val="0"/>
                <w:sz w:val="22"/>
                <w:szCs w:val="22"/>
                <w:lang w:bidi="ar"/>
              </w:rPr>
              <w:t>分，不符合不得分）</w:t>
            </w:r>
          </w:p>
        </w:tc>
        <w:tc>
          <w:tcPr>
            <w:tcW w:w="7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5B5230">
            <w:pPr>
              <w:widowControl/>
              <w:spacing w:line="360" w:lineRule="auto"/>
              <w:jc w:val="center"/>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val="en-US" w:eastAsia="zh-CN" w:bidi="ar"/>
              </w:rPr>
              <w:t>5</w:t>
            </w:r>
          </w:p>
        </w:tc>
      </w:tr>
      <w:tr w14:paraId="775F916E">
        <w:tblPrEx>
          <w:tblCellMar>
            <w:top w:w="0" w:type="dxa"/>
            <w:left w:w="108" w:type="dxa"/>
            <w:bottom w:w="0" w:type="dxa"/>
            <w:right w:w="108" w:type="dxa"/>
          </w:tblCellMar>
        </w:tblPrEx>
        <w:trPr>
          <w:jc w:val="center"/>
        </w:trPr>
        <w:tc>
          <w:tcPr>
            <w:tcW w:w="730" w:type="dxa"/>
            <w:tcBorders>
              <w:top w:val="single" w:color="000000" w:sz="4" w:space="0"/>
              <w:left w:val="single" w:color="000000" w:sz="4" w:space="0"/>
              <w:bottom w:val="single" w:color="000000" w:sz="4" w:space="0"/>
              <w:right w:val="single" w:color="000000" w:sz="4" w:space="0"/>
            </w:tcBorders>
            <w:vAlign w:val="center"/>
          </w:tcPr>
          <w:p w14:paraId="63C31084">
            <w:pPr>
              <w:widowControl/>
              <w:spacing w:line="360" w:lineRule="auto"/>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15</w:t>
            </w:r>
          </w:p>
        </w:tc>
        <w:tc>
          <w:tcPr>
            <w:tcW w:w="1890" w:type="dxa"/>
            <w:tcBorders>
              <w:top w:val="single" w:color="000000" w:sz="4" w:space="0"/>
              <w:left w:val="single" w:color="000000" w:sz="4" w:space="0"/>
              <w:bottom w:val="single" w:color="000000" w:sz="4" w:space="0"/>
              <w:right w:val="single" w:color="000000" w:sz="4" w:space="0"/>
            </w:tcBorders>
            <w:vAlign w:val="center"/>
          </w:tcPr>
          <w:p w14:paraId="4D5D7397">
            <w:pPr>
              <w:widowControl/>
              <w:spacing w:line="360" w:lineRule="auto"/>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设备、工具配置</w:t>
            </w:r>
          </w:p>
        </w:tc>
        <w:tc>
          <w:tcPr>
            <w:tcW w:w="6229" w:type="dxa"/>
            <w:tcBorders>
              <w:top w:val="single" w:color="000000" w:sz="4" w:space="0"/>
              <w:left w:val="single" w:color="000000" w:sz="4" w:space="0"/>
              <w:bottom w:val="single" w:color="000000" w:sz="4" w:space="0"/>
              <w:right w:val="single" w:color="000000" w:sz="4" w:space="0"/>
            </w:tcBorders>
            <w:vAlign w:val="center"/>
          </w:tcPr>
          <w:p w14:paraId="15284751">
            <w:pPr>
              <w:widowControl/>
              <w:spacing w:line="360" w:lineRule="auto"/>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拟投入本项目的设备、工具配置情况方案。方案详细完善、满足采购需求的视为符合。符合得</w:t>
            </w:r>
            <w:r>
              <w:rPr>
                <w:rFonts w:hint="eastAsia" w:ascii="宋体" w:hAnsi="宋体" w:cs="宋体"/>
                <w:color w:val="000000"/>
                <w:kern w:val="0"/>
                <w:sz w:val="22"/>
                <w:szCs w:val="22"/>
                <w:lang w:val="en-US" w:eastAsia="zh-CN" w:bidi="ar"/>
              </w:rPr>
              <w:t>5</w:t>
            </w:r>
            <w:r>
              <w:rPr>
                <w:rFonts w:hint="eastAsia" w:ascii="宋体" w:hAnsi="宋体" w:cs="宋体"/>
                <w:color w:val="000000"/>
                <w:kern w:val="0"/>
                <w:sz w:val="22"/>
                <w:szCs w:val="22"/>
                <w:lang w:bidi="ar"/>
              </w:rPr>
              <w:t>分，部分符合得1-</w:t>
            </w:r>
            <w:r>
              <w:rPr>
                <w:rFonts w:hint="eastAsia" w:ascii="宋体" w:hAnsi="宋体" w:cs="宋体"/>
                <w:color w:val="000000"/>
                <w:kern w:val="0"/>
                <w:sz w:val="22"/>
                <w:szCs w:val="22"/>
                <w:lang w:val="en-US" w:eastAsia="zh-CN" w:bidi="ar"/>
              </w:rPr>
              <w:t>4</w:t>
            </w:r>
            <w:r>
              <w:rPr>
                <w:rFonts w:hint="eastAsia" w:ascii="宋体" w:hAnsi="宋体" w:cs="宋体"/>
                <w:color w:val="000000"/>
                <w:kern w:val="0"/>
                <w:sz w:val="22"/>
                <w:szCs w:val="22"/>
                <w:lang w:bidi="ar"/>
              </w:rPr>
              <w:t>分，不符合不得分。</w:t>
            </w:r>
          </w:p>
        </w:tc>
        <w:tc>
          <w:tcPr>
            <w:tcW w:w="789" w:type="dxa"/>
            <w:tcBorders>
              <w:top w:val="single" w:color="000000" w:sz="4" w:space="0"/>
              <w:left w:val="single" w:color="000000" w:sz="4" w:space="0"/>
              <w:bottom w:val="single" w:color="000000" w:sz="4" w:space="0"/>
              <w:right w:val="single" w:color="000000" w:sz="4" w:space="0"/>
            </w:tcBorders>
            <w:vAlign w:val="center"/>
          </w:tcPr>
          <w:p w14:paraId="4544B1A3">
            <w:pPr>
              <w:widowControl/>
              <w:spacing w:line="360" w:lineRule="auto"/>
              <w:jc w:val="center"/>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val="en-US" w:eastAsia="zh-CN" w:bidi="ar"/>
              </w:rPr>
              <w:t>5</w:t>
            </w:r>
          </w:p>
        </w:tc>
      </w:tr>
      <w:tr w14:paraId="5E677871">
        <w:tblPrEx>
          <w:tblCellMar>
            <w:top w:w="0" w:type="dxa"/>
            <w:left w:w="108" w:type="dxa"/>
            <w:bottom w:w="0" w:type="dxa"/>
            <w:right w:w="108" w:type="dxa"/>
          </w:tblCellMar>
        </w:tblPrEx>
        <w:trPr>
          <w:jc w:val="center"/>
        </w:trPr>
        <w:tc>
          <w:tcPr>
            <w:tcW w:w="730" w:type="dxa"/>
            <w:tcBorders>
              <w:top w:val="single" w:color="000000" w:sz="4" w:space="0"/>
              <w:left w:val="single" w:color="000000" w:sz="4" w:space="0"/>
              <w:bottom w:val="single" w:color="000000" w:sz="4" w:space="0"/>
              <w:right w:val="single" w:color="000000" w:sz="4" w:space="0"/>
            </w:tcBorders>
            <w:vAlign w:val="center"/>
          </w:tcPr>
          <w:p w14:paraId="285B1349">
            <w:pPr>
              <w:widowControl/>
              <w:spacing w:line="360" w:lineRule="auto"/>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16</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FFA7C4">
            <w:pPr>
              <w:widowControl/>
              <w:spacing w:line="360" w:lineRule="auto"/>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培训计划及培训方案</w:t>
            </w:r>
          </w:p>
        </w:tc>
        <w:tc>
          <w:tcPr>
            <w:tcW w:w="62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D3F8A7">
            <w:pPr>
              <w:widowControl/>
              <w:spacing w:line="360" w:lineRule="auto"/>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培训计划的详细程度及培训方案的全面性、针对性及可行性进行综合评分。人员录用与考核有标准，有奖惩淘汰机制；各类人员上岗仪表、行为、态度，标准统一、规范（符合得5分，部分符合得1-4分，不符合不得分）</w:t>
            </w:r>
          </w:p>
        </w:tc>
        <w:tc>
          <w:tcPr>
            <w:tcW w:w="789" w:type="dxa"/>
            <w:tcBorders>
              <w:top w:val="single" w:color="000000" w:sz="4" w:space="0"/>
              <w:left w:val="single" w:color="000000" w:sz="4" w:space="0"/>
              <w:bottom w:val="single" w:color="000000" w:sz="4" w:space="0"/>
              <w:right w:val="single" w:color="000000" w:sz="4" w:space="0"/>
            </w:tcBorders>
            <w:vAlign w:val="center"/>
          </w:tcPr>
          <w:p w14:paraId="68F6C81A">
            <w:pPr>
              <w:widowControl/>
              <w:spacing w:line="360" w:lineRule="auto"/>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5</w:t>
            </w:r>
          </w:p>
        </w:tc>
      </w:tr>
      <w:tr w14:paraId="330AE91C">
        <w:tblPrEx>
          <w:tblCellMar>
            <w:top w:w="0" w:type="dxa"/>
            <w:left w:w="108" w:type="dxa"/>
            <w:bottom w:w="0" w:type="dxa"/>
            <w:right w:w="108" w:type="dxa"/>
          </w:tblCellMar>
        </w:tblPrEx>
        <w:trPr>
          <w:jc w:val="center"/>
        </w:trPr>
        <w:tc>
          <w:tcPr>
            <w:tcW w:w="730" w:type="dxa"/>
            <w:tcBorders>
              <w:top w:val="single" w:color="000000" w:sz="4" w:space="0"/>
              <w:left w:val="single" w:color="000000" w:sz="4" w:space="0"/>
              <w:bottom w:val="single" w:color="000000" w:sz="4" w:space="0"/>
              <w:right w:val="single" w:color="000000" w:sz="4" w:space="0"/>
            </w:tcBorders>
            <w:vAlign w:val="center"/>
          </w:tcPr>
          <w:p w14:paraId="42846F93">
            <w:pPr>
              <w:widowControl/>
              <w:spacing w:line="360" w:lineRule="auto"/>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17</w:t>
            </w:r>
          </w:p>
        </w:tc>
        <w:tc>
          <w:tcPr>
            <w:tcW w:w="1890" w:type="dxa"/>
            <w:tcBorders>
              <w:top w:val="single" w:color="000000" w:sz="4" w:space="0"/>
              <w:left w:val="single" w:color="000000" w:sz="4" w:space="0"/>
              <w:bottom w:val="single" w:color="000000" w:sz="4" w:space="0"/>
              <w:right w:val="single" w:color="000000" w:sz="4" w:space="0"/>
            </w:tcBorders>
            <w:vAlign w:val="center"/>
          </w:tcPr>
          <w:p w14:paraId="6DB94326">
            <w:pPr>
              <w:widowControl/>
              <w:spacing w:line="360" w:lineRule="auto"/>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应急管理方案</w:t>
            </w:r>
          </w:p>
        </w:tc>
        <w:tc>
          <w:tcPr>
            <w:tcW w:w="62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520675">
            <w:pPr>
              <w:widowControl/>
              <w:spacing w:line="360" w:lineRule="auto"/>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服务区域内应急管理方案，分析合理、预防与应对措施内容全面详细、可行性强。符合得5分，部分符合得1-4分，不符合不得分。</w:t>
            </w:r>
          </w:p>
        </w:tc>
        <w:tc>
          <w:tcPr>
            <w:tcW w:w="789" w:type="dxa"/>
            <w:tcBorders>
              <w:top w:val="single" w:color="000000" w:sz="4" w:space="0"/>
              <w:left w:val="single" w:color="000000" w:sz="4" w:space="0"/>
              <w:bottom w:val="single" w:color="000000" w:sz="4" w:space="0"/>
              <w:right w:val="single" w:color="000000" w:sz="4" w:space="0"/>
            </w:tcBorders>
            <w:vAlign w:val="center"/>
          </w:tcPr>
          <w:p w14:paraId="20CEA7DF">
            <w:pPr>
              <w:widowControl/>
              <w:spacing w:line="360" w:lineRule="auto"/>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5</w:t>
            </w:r>
          </w:p>
        </w:tc>
      </w:tr>
      <w:tr w14:paraId="12DE53FD">
        <w:tblPrEx>
          <w:tblCellMar>
            <w:top w:w="0" w:type="dxa"/>
            <w:left w:w="108" w:type="dxa"/>
            <w:bottom w:w="0" w:type="dxa"/>
            <w:right w:w="108" w:type="dxa"/>
          </w:tblCellMar>
        </w:tblPrEx>
        <w:trPr>
          <w:jc w:val="center"/>
        </w:trPr>
        <w:tc>
          <w:tcPr>
            <w:tcW w:w="730" w:type="dxa"/>
            <w:tcBorders>
              <w:top w:val="single" w:color="000000" w:sz="4" w:space="0"/>
              <w:left w:val="single" w:color="000000" w:sz="4" w:space="0"/>
              <w:bottom w:val="single" w:color="000000" w:sz="4" w:space="0"/>
              <w:right w:val="single" w:color="000000" w:sz="4" w:space="0"/>
            </w:tcBorders>
            <w:vAlign w:val="center"/>
          </w:tcPr>
          <w:p w14:paraId="449D9B82">
            <w:pPr>
              <w:widowControl/>
              <w:spacing w:line="360" w:lineRule="auto"/>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18</w:t>
            </w:r>
          </w:p>
        </w:tc>
        <w:tc>
          <w:tcPr>
            <w:tcW w:w="1890" w:type="dxa"/>
            <w:tcBorders>
              <w:top w:val="single" w:color="000000" w:sz="4" w:space="0"/>
              <w:left w:val="single" w:color="000000" w:sz="4" w:space="0"/>
              <w:bottom w:val="single" w:color="000000" w:sz="4" w:space="0"/>
              <w:right w:val="single" w:color="000000" w:sz="4" w:space="0"/>
            </w:tcBorders>
            <w:vAlign w:val="center"/>
          </w:tcPr>
          <w:p w14:paraId="6D6396E0">
            <w:pPr>
              <w:widowControl/>
              <w:spacing w:line="360" w:lineRule="auto"/>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增值服务和特色服务</w:t>
            </w:r>
          </w:p>
        </w:tc>
        <w:tc>
          <w:tcPr>
            <w:tcW w:w="6229" w:type="dxa"/>
            <w:tcBorders>
              <w:top w:val="single" w:color="000000" w:sz="4" w:space="0"/>
              <w:left w:val="single" w:color="000000" w:sz="4" w:space="0"/>
              <w:bottom w:val="single" w:color="000000" w:sz="4" w:space="0"/>
              <w:right w:val="single" w:color="000000" w:sz="4" w:space="0"/>
            </w:tcBorders>
            <w:vAlign w:val="center"/>
          </w:tcPr>
          <w:p w14:paraId="20A0089C">
            <w:pPr>
              <w:widowControl/>
              <w:spacing w:line="360" w:lineRule="auto"/>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在采购人日常需求以外，是否给出其他优惠承诺或增值服务（如遇重要活动或非工作日中，能够提供采购需求之外保安、工程维修等的工时情况），以及其他特色服务和响应措施等情况（符合得3分，部分符合得1-2分，不符合不得分）。</w:t>
            </w:r>
          </w:p>
        </w:tc>
        <w:tc>
          <w:tcPr>
            <w:tcW w:w="789" w:type="dxa"/>
            <w:tcBorders>
              <w:top w:val="single" w:color="000000" w:sz="4" w:space="0"/>
              <w:left w:val="single" w:color="000000" w:sz="4" w:space="0"/>
              <w:bottom w:val="single" w:color="000000" w:sz="4" w:space="0"/>
              <w:right w:val="single" w:color="000000" w:sz="4" w:space="0"/>
            </w:tcBorders>
            <w:vAlign w:val="center"/>
          </w:tcPr>
          <w:p w14:paraId="36771E9E">
            <w:pPr>
              <w:widowControl/>
              <w:spacing w:line="360" w:lineRule="auto"/>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w:t>
            </w:r>
          </w:p>
        </w:tc>
      </w:tr>
    </w:tbl>
    <w:p w14:paraId="7648DA69">
      <w:pPr>
        <w:widowControl/>
        <w:snapToGrid w:val="0"/>
        <w:spacing w:line="360" w:lineRule="auto"/>
        <w:rPr>
          <w:rFonts w:hint="eastAsia" w:ascii="宋体" w:hAnsi="宋体" w:cs="宋体"/>
        </w:rPr>
      </w:pPr>
      <w:r>
        <w:rPr>
          <w:rFonts w:hint="eastAsia" w:ascii="宋体" w:hAnsi="宋体" w:cs="宋体"/>
          <w:kern w:val="0"/>
          <w:szCs w:val="21"/>
        </w:rPr>
        <w:t>注：</w:t>
      </w:r>
      <w:r>
        <w:rPr>
          <w:rFonts w:hint="eastAsia" w:ascii="宋体" w:hAnsi="宋体" w:cs="宋体"/>
        </w:rPr>
        <w:t>上述所有证书等证明资料在有效期内，复印件要求加盖公章。供应商如提供虚假证明材料的，将承担相应的法律责任。</w:t>
      </w:r>
    </w:p>
    <w:p w14:paraId="63EFF59D">
      <w:pPr>
        <w:spacing w:line="360" w:lineRule="auto"/>
        <w:ind w:firstLine="422" w:firstLineChars="200"/>
        <w:rPr>
          <w:rFonts w:hint="eastAsia" w:ascii="宋体" w:hAnsi="宋体" w:cs="宋体"/>
          <w:b/>
        </w:rPr>
      </w:pPr>
      <w:r>
        <w:rPr>
          <w:rFonts w:hint="eastAsia" w:ascii="宋体" w:hAnsi="宋体" w:cs="宋体"/>
          <w:b/>
          <w:szCs w:val="21"/>
        </w:rPr>
        <w:t>3.</w:t>
      </w:r>
      <w:r>
        <w:rPr>
          <w:rFonts w:hint="eastAsia" w:ascii="宋体" w:hAnsi="宋体" w:cs="宋体"/>
          <w:b/>
        </w:rPr>
        <w:t>报价文件符合性审查：</w:t>
      </w:r>
    </w:p>
    <w:p w14:paraId="07AE7177">
      <w:pPr>
        <w:spacing w:line="360" w:lineRule="auto"/>
        <w:ind w:firstLine="413" w:firstLineChars="196"/>
        <w:rPr>
          <w:rFonts w:hint="eastAsia" w:ascii="宋体" w:hAnsi="宋体" w:cs="宋体"/>
          <w:b/>
          <w:u w:val="thick"/>
        </w:rPr>
      </w:pPr>
      <w:r>
        <w:rPr>
          <w:rFonts w:hint="eastAsia" w:ascii="宋体" w:hAnsi="宋体" w:cs="宋体"/>
          <w:b/>
          <w:u w:val="thick"/>
        </w:rPr>
        <w:t>报价文件符合性审查中，存在下列情形之一的，经评审小组认定后作无效标处理：</w:t>
      </w:r>
    </w:p>
    <w:p w14:paraId="4A438526">
      <w:pPr>
        <w:numPr>
          <w:ilvl w:val="0"/>
          <w:numId w:val="5"/>
        </w:numPr>
        <w:spacing w:line="360" w:lineRule="auto"/>
        <w:ind w:firstLine="411" w:firstLineChars="196"/>
        <w:rPr>
          <w:rFonts w:hint="eastAsia" w:ascii="宋体" w:hAnsi="宋体" w:cs="宋体"/>
        </w:rPr>
      </w:pPr>
      <w:r>
        <w:rPr>
          <w:rFonts w:hint="eastAsia" w:ascii="宋体" w:hAnsi="宋体" w:cs="宋体"/>
        </w:rPr>
        <w:t>仅提交“备份响应文件”的；</w:t>
      </w:r>
    </w:p>
    <w:p w14:paraId="1B57CF02">
      <w:pPr>
        <w:numPr>
          <w:ilvl w:val="0"/>
          <w:numId w:val="5"/>
        </w:numPr>
        <w:spacing w:line="360" w:lineRule="auto"/>
        <w:ind w:firstLine="411" w:firstLineChars="196"/>
        <w:rPr>
          <w:rFonts w:hint="eastAsia" w:hAnsi="宋体" w:cs="宋体"/>
        </w:rPr>
      </w:pPr>
      <w:r>
        <w:rPr>
          <w:rFonts w:hint="eastAsia" w:hAnsi="宋体" w:cs="宋体"/>
        </w:rPr>
        <w:t>响应文件存在一个或一个以上备选（替代）投标方案的；</w:t>
      </w:r>
    </w:p>
    <w:p w14:paraId="12AD4F27">
      <w:pPr>
        <w:numPr>
          <w:ilvl w:val="0"/>
          <w:numId w:val="5"/>
        </w:numPr>
        <w:spacing w:line="360" w:lineRule="auto"/>
        <w:ind w:firstLine="411" w:firstLineChars="196"/>
        <w:rPr>
          <w:rFonts w:hint="eastAsia" w:hAnsi="宋体" w:cs="宋体"/>
        </w:rPr>
      </w:pPr>
      <w:r>
        <w:rPr>
          <w:rFonts w:hint="eastAsia" w:hAnsi="宋体" w:cs="宋体"/>
        </w:rPr>
        <w:t>未按照招标文件标明的币种报价的，或者公开招标报价涵盖的内容不符合招标文件要求</w:t>
      </w:r>
    </w:p>
    <w:p w14:paraId="1DC25354">
      <w:pPr>
        <w:pStyle w:val="24"/>
        <w:tabs>
          <w:tab w:val="left" w:pos="454"/>
        </w:tabs>
        <w:spacing w:line="360" w:lineRule="auto"/>
        <w:rPr>
          <w:rFonts w:hint="eastAsia" w:hAnsi="宋体" w:cs="宋体"/>
        </w:rPr>
      </w:pPr>
      <w:r>
        <w:rPr>
          <w:rFonts w:hint="eastAsia" w:hAnsi="宋体" w:cs="宋体"/>
        </w:rPr>
        <w:t>的；</w:t>
      </w:r>
    </w:p>
    <w:p w14:paraId="43036DEB">
      <w:pPr>
        <w:pStyle w:val="24"/>
        <w:numPr>
          <w:ilvl w:val="0"/>
          <w:numId w:val="5"/>
        </w:numPr>
        <w:tabs>
          <w:tab w:val="left" w:pos="454"/>
        </w:tabs>
        <w:spacing w:line="360" w:lineRule="auto"/>
        <w:ind w:firstLine="411" w:firstLineChars="196"/>
        <w:rPr>
          <w:rFonts w:hint="eastAsia" w:hAnsi="宋体" w:cs="宋体"/>
          <w:szCs w:val="21"/>
        </w:rPr>
      </w:pPr>
      <w:r>
        <w:rPr>
          <w:rFonts w:hint="eastAsia" w:hAnsi="宋体" w:cs="宋体"/>
          <w:szCs w:val="21"/>
        </w:rPr>
        <w:t>《报价一览表》和《投标价格组成明细表》内容不一致且不接受修正的；</w:t>
      </w:r>
    </w:p>
    <w:p w14:paraId="759CB73F">
      <w:pPr>
        <w:pStyle w:val="24"/>
        <w:numPr>
          <w:ilvl w:val="0"/>
          <w:numId w:val="5"/>
        </w:numPr>
        <w:tabs>
          <w:tab w:val="left" w:pos="454"/>
        </w:tabs>
        <w:spacing w:line="360" w:lineRule="auto"/>
        <w:ind w:firstLine="411" w:firstLineChars="196"/>
        <w:rPr>
          <w:rFonts w:hint="eastAsia" w:hAnsi="宋体" w:cs="宋体"/>
          <w:szCs w:val="21"/>
        </w:rPr>
      </w:pPr>
      <w:r>
        <w:rPr>
          <w:rFonts w:hint="eastAsia" w:hAnsi="宋体" w:cs="宋体"/>
          <w:szCs w:val="21"/>
        </w:rPr>
        <w:t>响应文件内容未按招标文件规定签字或盖章的；</w:t>
      </w:r>
    </w:p>
    <w:p w14:paraId="182ED4CA">
      <w:pPr>
        <w:pStyle w:val="24"/>
        <w:numPr>
          <w:ilvl w:val="0"/>
          <w:numId w:val="5"/>
        </w:numPr>
        <w:tabs>
          <w:tab w:val="left" w:pos="454"/>
        </w:tabs>
        <w:spacing w:line="360" w:lineRule="auto"/>
        <w:ind w:firstLine="411" w:firstLineChars="196"/>
        <w:rPr>
          <w:rFonts w:hint="eastAsia" w:hAnsi="宋体" w:cs="宋体"/>
          <w:szCs w:val="21"/>
        </w:rPr>
      </w:pPr>
      <w:r>
        <w:rPr>
          <w:rFonts w:hint="eastAsia" w:hAnsi="宋体" w:cs="宋体"/>
          <w:szCs w:val="21"/>
        </w:rPr>
        <w:t>响应文件组成漏项或未按规定的格式编制，内容不全或内容字迹模糊辨认不清的而导致评审活动无法正常进行；</w:t>
      </w:r>
    </w:p>
    <w:p w14:paraId="57A6083F">
      <w:pPr>
        <w:pStyle w:val="24"/>
        <w:numPr>
          <w:ilvl w:val="0"/>
          <w:numId w:val="5"/>
        </w:numPr>
        <w:tabs>
          <w:tab w:val="left" w:pos="454"/>
        </w:tabs>
        <w:spacing w:line="360" w:lineRule="auto"/>
        <w:ind w:firstLine="411" w:firstLineChars="196"/>
        <w:rPr>
          <w:rFonts w:hint="eastAsia" w:hAnsi="宋体" w:cs="宋体"/>
        </w:rPr>
      </w:pPr>
      <w:r>
        <w:rPr>
          <w:rFonts w:hint="eastAsia" w:hAnsi="宋体" w:cs="宋体"/>
          <w:szCs w:val="21"/>
        </w:rPr>
        <w:t>供应商未按招标文件变更公告通知更改响应文件的；</w:t>
      </w:r>
    </w:p>
    <w:p w14:paraId="179741F0">
      <w:pPr>
        <w:pStyle w:val="24"/>
        <w:numPr>
          <w:ilvl w:val="0"/>
          <w:numId w:val="5"/>
        </w:numPr>
        <w:tabs>
          <w:tab w:val="left" w:pos="454"/>
        </w:tabs>
        <w:spacing w:line="360" w:lineRule="auto"/>
        <w:ind w:firstLine="411" w:firstLineChars="196"/>
        <w:rPr>
          <w:rFonts w:hint="eastAsia" w:hAnsi="宋体" w:cs="宋体"/>
        </w:rPr>
      </w:pPr>
      <w:r>
        <w:rPr>
          <w:rFonts w:hint="eastAsia" w:hAnsi="宋体" w:cs="宋体"/>
          <w:szCs w:val="21"/>
        </w:rPr>
        <w:t>报价超过采购</w:t>
      </w:r>
      <w:r>
        <w:rPr>
          <w:rFonts w:hint="eastAsia" w:hAnsi="宋体" w:cs="宋体"/>
        </w:rPr>
        <w:t>预算金额（或最高限价）</w:t>
      </w:r>
      <w:r>
        <w:rPr>
          <w:rFonts w:hint="eastAsia" w:hAnsi="宋体" w:cs="宋体"/>
          <w:szCs w:val="21"/>
        </w:rPr>
        <w:t>的；</w:t>
      </w:r>
    </w:p>
    <w:p w14:paraId="20C960FE">
      <w:pPr>
        <w:pStyle w:val="24"/>
        <w:numPr>
          <w:ilvl w:val="0"/>
          <w:numId w:val="5"/>
        </w:numPr>
        <w:tabs>
          <w:tab w:val="left" w:pos="454"/>
        </w:tabs>
        <w:spacing w:line="360" w:lineRule="auto"/>
        <w:ind w:firstLine="413" w:firstLineChars="196"/>
        <w:rPr>
          <w:rFonts w:hint="eastAsia" w:hAnsi="宋体" w:cs="宋体"/>
          <w:szCs w:val="21"/>
        </w:rPr>
      </w:pPr>
      <w:r>
        <w:rPr>
          <w:rFonts w:hint="eastAsia" w:hAnsi="宋体" w:cs="宋体"/>
          <w:b/>
          <w:bCs/>
        </w:rPr>
        <w:t>报价明显低于其他通过符合性审查投标人的报价，有可能影响产品质量或者不能诚信履约的，未能按要求提供书面说明或者提交相关证明材料，不能证明其报价合理性的；</w:t>
      </w:r>
    </w:p>
    <w:p w14:paraId="689AAAB7">
      <w:pPr>
        <w:pStyle w:val="24"/>
        <w:numPr>
          <w:ilvl w:val="0"/>
          <w:numId w:val="5"/>
        </w:numPr>
        <w:tabs>
          <w:tab w:val="left" w:pos="454"/>
        </w:tabs>
        <w:spacing w:line="360" w:lineRule="auto"/>
        <w:ind w:firstLine="411" w:firstLineChars="196"/>
        <w:rPr>
          <w:rFonts w:hint="eastAsia" w:hAnsi="宋体" w:cs="宋体"/>
          <w:szCs w:val="21"/>
        </w:rPr>
      </w:pPr>
      <w:r>
        <w:rPr>
          <w:rFonts w:hint="eastAsia" w:hAnsi="宋体" w:cs="宋体"/>
          <w:szCs w:val="21"/>
        </w:rPr>
        <w:t>参与同一个采购包（标段）的供应商存在下列情形之一且无法合理解释的，其投标（响应）文件无效：1.不同供应商的电子投标（响应）文件上传计算机的网卡MAC地址或硬盘序列号等硬件信息相同的；2.上传的电子投标（响应）文件若出现使用本项目其他投标（响应）供应商的数字证书加密的，或者加盖本项目其他投标（响应）供应商的电子印章的；3.不同供应商的投标（响应）文件的内容存在3处（含）以上错误一致的；4.不同供应商联系人为同一人或不同联系人的联系电话一致的；</w:t>
      </w:r>
    </w:p>
    <w:p w14:paraId="10942266">
      <w:pPr>
        <w:pStyle w:val="24"/>
        <w:numPr>
          <w:ilvl w:val="0"/>
          <w:numId w:val="5"/>
        </w:numPr>
        <w:tabs>
          <w:tab w:val="left" w:pos="454"/>
        </w:tabs>
        <w:spacing w:line="360" w:lineRule="auto"/>
        <w:ind w:firstLine="411" w:firstLineChars="196"/>
        <w:rPr>
          <w:rFonts w:hint="eastAsia" w:hAnsi="宋体" w:cs="宋体"/>
          <w:szCs w:val="21"/>
        </w:rPr>
      </w:pPr>
      <w:r>
        <w:rPr>
          <w:rFonts w:hint="eastAsia" w:hAnsi="宋体" w:cs="宋体"/>
          <w:szCs w:val="21"/>
        </w:rPr>
        <w:t>未实质性响应竞争性招标文件中带“▲”条款要求的响应文件；</w:t>
      </w:r>
    </w:p>
    <w:p w14:paraId="1DF85675">
      <w:pPr>
        <w:pStyle w:val="24"/>
        <w:numPr>
          <w:ilvl w:val="0"/>
          <w:numId w:val="5"/>
        </w:numPr>
        <w:tabs>
          <w:tab w:val="left" w:pos="454"/>
        </w:tabs>
        <w:spacing w:line="360" w:lineRule="auto"/>
        <w:ind w:firstLine="411" w:firstLineChars="196"/>
        <w:rPr>
          <w:rFonts w:hint="eastAsia" w:hAnsi="宋体" w:cs="宋体"/>
          <w:szCs w:val="21"/>
        </w:rPr>
      </w:pPr>
      <w:r>
        <w:rPr>
          <w:rFonts w:hint="eastAsia" w:hAnsi="宋体" w:cs="宋体"/>
          <w:szCs w:val="21"/>
        </w:rPr>
        <w:t>响应文件附有采购人不能接受的条款；</w:t>
      </w:r>
    </w:p>
    <w:p w14:paraId="5B199135">
      <w:pPr>
        <w:pStyle w:val="24"/>
        <w:numPr>
          <w:ilvl w:val="0"/>
          <w:numId w:val="5"/>
        </w:numPr>
        <w:tabs>
          <w:tab w:val="left" w:pos="454"/>
        </w:tabs>
        <w:spacing w:line="360" w:lineRule="auto"/>
        <w:ind w:firstLine="411" w:firstLineChars="196"/>
        <w:rPr>
          <w:rFonts w:hint="eastAsia" w:hAnsi="宋体" w:cs="宋体"/>
        </w:rPr>
      </w:pPr>
      <w:r>
        <w:rPr>
          <w:rFonts w:hint="eastAsia" w:hAnsi="宋体" w:cs="宋体"/>
          <w:szCs w:val="21"/>
        </w:rPr>
        <w:t>存在串标、抬标或弄虚作假情况的；</w:t>
      </w:r>
    </w:p>
    <w:p w14:paraId="7EE47BC3">
      <w:pPr>
        <w:pStyle w:val="24"/>
        <w:numPr>
          <w:ilvl w:val="0"/>
          <w:numId w:val="5"/>
        </w:numPr>
        <w:tabs>
          <w:tab w:val="left" w:pos="454"/>
        </w:tabs>
        <w:spacing w:line="360" w:lineRule="auto"/>
        <w:ind w:firstLine="411" w:firstLineChars="196"/>
        <w:rPr>
          <w:rFonts w:hint="eastAsia" w:hAnsi="宋体" w:cs="宋体"/>
        </w:rPr>
      </w:pPr>
      <w:r>
        <w:rPr>
          <w:rFonts w:hint="eastAsia" w:hAnsi="宋体" w:cs="宋体"/>
          <w:szCs w:val="21"/>
        </w:rPr>
        <w:t>违反国家及</w:t>
      </w:r>
      <w:r>
        <w:rPr>
          <w:rFonts w:hint="eastAsia" w:hAnsi="宋体" w:cs="宋体"/>
        </w:rPr>
        <w:t>政府部门相关法律、法规。</w:t>
      </w:r>
    </w:p>
    <w:p w14:paraId="1E6CDC0E">
      <w:pPr>
        <w:pStyle w:val="37"/>
        <w:adjustRightInd w:val="0"/>
        <w:snapToGrid w:val="0"/>
        <w:spacing w:line="360" w:lineRule="auto"/>
        <w:ind w:firstLine="422"/>
        <w:rPr>
          <w:rFonts w:hint="eastAsia" w:ascii="宋体" w:hAnsi="宋体" w:eastAsia="宋体" w:cs="宋体"/>
          <w:b/>
          <w:color w:val="auto"/>
          <w:sz w:val="21"/>
          <w:szCs w:val="21"/>
        </w:rPr>
      </w:pPr>
      <w:r>
        <w:rPr>
          <w:rFonts w:hint="eastAsia" w:ascii="宋体" w:hAnsi="宋体" w:eastAsia="宋体" w:cs="宋体"/>
          <w:b/>
          <w:color w:val="auto"/>
          <w:sz w:val="21"/>
          <w:szCs w:val="21"/>
        </w:rPr>
        <w:t>4.报价分   总分10分</w:t>
      </w:r>
      <w:bookmarkEnd w:id="16"/>
    </w:p>
    <w:p w14:paraId="5142D46F">
      <w:pPr>
        <w:widowControl/>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报价评分将在有效供应商范围内进行，最高得</w:t>
      </w:r>
      <w:r>
        <w:rPr>
          <w:rFonts w:hint="eastAsia" w:ascii="宋体" w:hAnsi="宋体" w:cs="宋体"/>
          <w:kern w:val="0"/>
          <w:szCs w:val="21"/>
          <w:u w:val="single"/>
        </w:rPr>
        <w:t>10</w:t>
      </w:r>
      <w:r>
        <w:rPr>
          <w:rFonts w:hint="eastAsia" w:ascii="宋体" w:hAnsi="宋体" w:cs="宋体"/>
          <w:kern w:val="0"/>
          <w:szCs w:val="21"/>
        </w:rPr>
        <w:t>分，最低得</w:t>
      </w:r>
      <w:r>
        <w:rPr>
          <w:rFonts w:hint="eastAsia" w:ascii="宋体" w:hAnsi="宋体" w:cs="宋体"/>
          <w:kern w:val="0"/>
          <w:szCs w:val="21"/>
          <w:u w:val="single"/>
        </w:rPr>
        <w:t xml:space="preserve"> 0 </w:t>
      </w:r>
      <w:r>
        <w:rPr>
          <w:rFonts w:hint="eastAsia" w:ascii="宋体" w:hAnsi="宋体" w:cs="宋体"/>
          <w:kern w:val="0"/>
          <w:szCs w:val="21"/>
        </w:rPr>
        <w:t>分（小数点后保留二位小数，第三位四舍五入）。满足招标文件要求且最后报价最低的</w:t>
      </w:r>
      <w:r>
        <w:rPr>
          <w:rFonts w:hint="eastAsia" w:ascii="宋体" w:hAnsi="宋体" w:cs="宋体"/>
          <w:b/>
          <w:bCs/>
          <w:kern w:val="0"/>
          <w:szCs w:val="21"/>
        </w:rPr>
        <w:t>投标</w:t>
      </w:r>
      <w:r>
        <w:rPr>
          <w:rFonts w:hint="eastAsia" w:ascii="宋体" w:hAnsi="宋体" w:cs="宋体"/>
          <w:b/>
          <w:kern w:val="0"/>
          <w:szCs w:val="21"/>
          <w:u w:val="thick"/>
        </w:rPr>
        <w:t>报价</w:t>
      </w:r>
      <w:r>
        <w:rPr>
          <w:rFonts w:hint="eastAsia" w:ascii="宋体" w:hAnsi="宋体" w:cs="宋体"/>
          <w:kern w:val="0"/>
          <w:szCs w:val="21"/>
        </w:rPr>
        <w:t>为</w:t>
      </w:r>
      <w:r>
        <w:rPr>
          <w:rFonts w:hint="eastAsia" w:ascii="宋体" w:hAnsi="宋体" w:cs="宋体"/>
          <w:b/>
          <w:bCs/>
          <w:kern w:val="0"/>
          <w:szCs w:val="21"/>
        </w:rPr>
        <w:t>评标</w:t>
      </w:r>
      <w:r>
        <w:rPr>
          <w:rFonts w:hint="eastAsia" w:ascii="宋体" w:hAnsi="宋体" w:cs="宋体"/>
          <w:b/>
          <w:kern w:val="0"/>
          <w:szCs w:val="21"/>
          <w:u w:val="thick"/>
        </w:rPr>
        <w:t>基准价</w:t>
      </w:r>
      <w:r>
        <w:rPr>
          <w:rFonts w:hint="eastAsia" w:ascii="宋体" w:hAnsi="宋体" w:cs="宋体"/>
          <w:kern w:val="0"/>
          <w:szCs w:val="21"/>
        </w:rPr>
        <w:t>，供应商的价格分统一按照下列公式计算：</w:t>
      </w:r>
    </w:p>
    <w:p w14:paraId="0BDC8DE1">
      <w:pPr>
        <w:widowControl/>
        <w:adjustRightInd w:val="0"/>
        <w:snapToGrid w:val="0"/>
        <w:spacing w:line="360" w:lineRule="auto"/>
        <w:ind w:firstLine="420" w:firstLineChars="200"/>
        <w:rPr>
          <w:rFonts w:hint="eastAsia" w:ascii="宋体" w:hAnsi="宋体" w:cs="宋体"/>
          <w:szCs w:val="21"/>
        </w:rPr>
      </w:pPr>
      <w:r>
        <w:rPr>
          <w:rFonts w:hint="eastAsia" w:ascii="宋体" w:hAnsi="宋体" w:cs="宋体"/>
          <w:kern w:val="0"/>
          <w:szCs w:val="21"/>
        </w:rPr>
        <w:t>报价得分=（评标基准价/投标报价）×10×100%</w:t>
      </w:r>
    </w:p>
    <w:p w14:paraId="273BA544">
      <w:pPr>
        <w:widowControl/>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此项由评审小组集体核实后统一打分。</w:t>
      </w:r>
    </w:p>
    <w:p w14:paraId="363FE1D8">
      <w:pPr>
        <w:pStyle w:val="37"/>
        <w:adjustRightInd w:val="0"/>
        <w:snapToGrid w:val="0"/>
        <w:spacing w:line="360" w:lineRule="auto"/>
        <w:ind w:firstLine="422"/>
        <w:rPr>
          <w:rFonts w:hint="eastAsia" w:ascii="宋体" w:hAnsi="宋体" w:eastAsia="宋体" w:cs="宋体"/>
          <w:b/>
          <w:bCs/>
          <w:color w:val="auto"/>
          <w:sz w:val="21"/>
        </w:rPr>
      </w:pPr>
      <w:r>
        <w:rPr>
          <w:rFonts w:hint="eastAsia" w:ascii="宋体" w:hAnsi="宋体" w:eastAsia="宋体" w:cs="宋体"/>
          <w:b/>
          <w:bCs/>
          <w:color w:val="auto"/>
          <w:sz w:val="21"/>
        </w:rPr>
        <w:t>六、询标</w:t>
      </w:r>
    </w:p>
    <w:p w14:paraId="4BC7E187">
      <w:pPr>
        <w:pStyle w:val="37"/>
        <w:adjustRightInd w:val="0"/>
        <w:snapToGrid w:val="0"/>
        <w:spacing w:line="360" w:lineRule="auto"/>
        <w:ind w:firstLine="420"/>
        <w:rPr>
          <w:rFonts w:hint="eastAsia" w:ascii="宋体" w:hAnsi="宋体" w:eastAsia="宋体" w:cs="宋体"/>
          <w:color w:val="auto"/>
          <w:sz w:val="21"/>
        </w:rPr>
      </w:pPr>
      <w:r>
        <w:rPr>
          <w:rFonts w:hint="eastAsia" w:ascii="宋体" w:hAnsi="宋体" w:eastAsia="宋体" w:cs="宋体"/>
          <w:color w:val="auto"/>
          <w:sz w:val="21"/>
        </w:rPr>
        <w:t>对响应文件中存在含义不清楚的内容，必要时评审小组要求供应商作必要的澄清、说明或补正。评审小组和供应商应当通过政采云平台交换数据电文。给予供应商提交澄清说明或补正的时间为30分钟以内，供应商已经明确表示澄清说明或补正完毕的除外。询标记录将作为响应文件的一部分。</w:t>
      </w:r>
    </w:p>
    <w:p w14:paraId="4E23CB83">
      <w:pPr>
        <w:adjustRightInd w:val="0"/>
        <w:snapToGrid w:val="0"/>
        <w:spacing w:line="360" w:lineRule="auto"/>
        <w:ind w:firstLine="422" w:firstLineChars="200"/>
        <w:rPr>
          <w:rFonts w:hint="eastAsia" w:ascii="宋体" w:hAnsi="宋体" w:cs="宋体"/>
          <w:b/>
          <w:bCs/>
        </w:rPr>
      </w:pPr>
      <w:r>
        <w:rPr>
          <w:rFonts w:hint="eastAsia" w:ascii="宋体" w:hAnsi="宋体" w:cs="宋体"/>
          <w:b/>
          <w:bCs/>
        </w:rPr>
        <w:t xml:space="preserve">七、中标（成交）办法 </w:t>
      </w:r>
    </w:p>
    <w:p w14:paraId="4E4347C4">
      <w:pPr>
        <w:autoSpaceDE w:val="0"/>
        <w:autoSpaceDN w:val="0"/>
        <w:adjustRightInd w:val="0"/>
        <w:snapToGrid w:val="0"/>
        <w:spacing w:line="360" w:lineRule="auto"/>
        <w:ind w:firstLine="420" w:firstLineChars="200"/>
        <w:textAlignment w:val="bottom"/>
        <w:rPr>
          <w:rFonts w:hint="eastAsia" w:ascii="宋体" w:hAnsi="宋体" w:cs="宋体"/>
        </w:rPr>
      </w:pPr>
      <w:r>
        <w:rPr>
          <w:rFonts w:hint="eastAsia" w:ascii="宋体" w:hAnsi="宋体" w:cs="宋体"/>
        </w:rPr>
        <w:t xml:space="preserve">采购人将根据评审小组提交的评审报告及推荐的成交候选人，按有关规定确定供应商。 </w:t>
      </w:r>
    </w:p>
    <w:p w14:paraId="0625089E">
      <w:pPr>
        <w:adjustRightInd w:val="0"/>
        <w:snapToGrid w:val="0"/>
        <w:spacing w:line="360" w:lineRule="auto"/>
        <w:ind w:firstLine="422" w:firstLineChars="200"/>
        <w:jc w:val="left"/>
        <w:rPr>
          <w:rFonts w:hint="eastAsia" w:ascii="宋体" w:hAnsi="宋体" w:cs="宋体"/>
          <w:b/>
          <w:bCs/>
        </w:rPr>
      </w:pPr>
      <w:r>
        <w:rPr>
          <w:rFonts w:hint="eastAsia" w:ascii="宋体" w:hAnsi="宋体" w:cs="宋体"/>
          <w:b/>
          <w:bCs/>
        </w:rPr>
        <w:t>八、供应商义务</w:t>
      </w:r>
    </w:p>
    <w:p w14:paraId="55C843C7">
      <w:pPr>
        <w:widowControl/>
        <w:spacing w:line="360" w:lineRule="auto"/>
        <w:ind w:firstLine="420" w:firstLineChars="200"/>
        <w:jc w:val="left"/>
        <w:rPr>
          <w:rFonts w:hint="eastAsia" w:ascii="宋体" w:hAnsi="宋体" w:cs="宋体"/>
        </w:rPr>
      </w:pPr>
      <w:r>
        <w:rPr>
          <w:rFonts w:hint="eastAsia" w:ascii="宋体" w:hAnsi="宋体" w:cs="宋体"/>
        </w:rPr>
        <w:t>评审期间，供应商应随时在线答复评审小组的询标，解答包括有关的商务、技术问题等。</w:t>
      </w:r>
    </w:p>
    <w:p w14:paraId="7EDD13D6">
      <w:pPr>
        <w:widowControl/>
        <w:adjustRightInd w:val="0"/>
        <w:snapToGrid w:val="0"/>
        <w:spacing w:line="360" w:lineRule="auto"/>
        <w:ind w:firstLine="420" w:firstLineChars="200"/>
        <w:rPr>
          <w:rFonts w:hint="eastAsia" w:ascii="宋体" w:hAnsi="宋体" w:cs="宋体"/>
          <w:szCs w:val="21"/>
        </w:rPr>
      </w:pPr>
    </w:p>
    <w:p w14:paraId="024F0430">
      <w:pPr>
        <w:pStyle w:val="3"/>
        <w:rPr>
          <w:rFonts w:hint="eastAsia" w:ascii="宋体" w:hAnsi="宋体" w:cs="宋体"/>
          <w:color w:val="auto"/>
        </w:rPr>
      </w:pPr>
      <w:r>
        <w:rPr>
          <w:rFonts w:hint="eastAsia" w:ascii="宋体" w:hAnsi="宋体" w:cs="宋体"/>
          <w:color w:val="auto"/>
        </w:rPr>
        <w:br w:type="page"/>
      </w:r>
      <w:bookmarkStart w:id="17" w:name="_Toc11434"/>
      <w:r>
        <w:rPr>
          <w:rFonts w:hint="eastAsia" w:ascii="宋体" w:hAnsi="宋体" w:cs="宋体"/>
          <w:color w:val="auto"/>
        </w:rPr>
        <w:t>第五章  采购合同</w:t>
      </w:r>
      <w:bookmarkEnd w:id="17"/>
    </w:p>
    <w:p w14:paraId="2C605A43">
      <w:pPr>
        <w:spacing w:line="360" w:lineRule="auto"/>
        <w:jc w:val="center"/>
        <w:rPr>
          <w:rFonts w:hint="eastAsia" w:ascii="宋体" w:hAnsi="宋体" w:cs="宋体"/>
          <w:b/>
        </w:rPr>
      </w:pPr>
      <w:bookmarkStart w:id="18" w:name="_Toc3287"/>
      <w:r>
        <w:rPr>
          <w:rFonts w:hint="eastAsia" w:ascii="宋体" w:hAnsi="宋体" w:cs="宋体"/>
          <w:b/>
        </w:rPr>
        <w:t>（本合同为合同样稿，最终稿由双方协商后确定）</w:t>
      </w:r>
    </w:p>
    <w:bookmarkEnd w:id="18"/>
    <w:p w14:paraId="0773985C">
      <w:pPr>
        <w:pStyle w:val="120"/>
        <w:spacing w:line="360" w:lineRule="auto"/>
        <w:rPr>
          <w:rFonts w:hint="eastAsia" w:ascii="宋体" w:hAnsi="宋体" w:cs="宋体"/>
          <w:kern w:val="2"/>
          <w:szCs w:val="21"/>
        </w:rPr>
      </w:pPr>
    </w:p>
    <w:p w14:paraId="78A8A7A2">
      <w:pPr>
        <w:spacing w:line="360" w:lineRule="auto"/>
        <w:rPr>
          <w:rFonts w:hint="eastAsia" w:ascii="宋体" w:hAnsi="宋体" w:cs="宋体"/>
          <w:szCs w:val="21"/>
        </w:rPr>
      </w:pPr>
      <w:r>
        <w:rPr>
          <w:rFonts w:hint="eastAsia" w:ascii="宋体" w:hAnsi="宋体" w:cs="宋体"/>
          <w:szCs w:val="21"/>
        </w:rPr>
        <w:t>甲方：</w:t>
      </w:r>
    </w:p>
    <w:p w14:paraId="7933E41D">
      <w:pPr>
        <w:spacing w:line="360" w:lineRule="auto"/>
        <w:rPr>
          <w:rFonts w:hint="eastAsia" w:ascii="宋体" w:hAnsi="宋体" w:cs="宋体"/>
          <w:szCs w:val="21"/>
        </w:rPr>
      </w:pPr>
      <w:r>
        <w:rPr>
          <w:rFonts w:hint="eastAsia" w:ascii="宋体" w:hAnsi="宋体" w:cs="宋体"/>
          <w:szCs w:val="21"/>
        </w:rPr>
        <w:t>乙方（中标人）：</w:t>
      </w:r>
    </w:p>
    <w:p w14:paraId="56C32CE3">
      <w:pPr>
        <w:spacing w:line="360" w:lineRule="auto"/>
        <w:ind w:firstLine="420" w:firstLineChars="200"/>
        <w:rPr>
          <w:rFonts w:hint="eastAsia" w:ascii="宋体" w:hAnsi="宋体" w:cs="宋体"/>
          <w:szCs w:val="21"/>
        </w:rPr>
      </w:pPr>
      <w:r>
        <w:rPr>
          <w:rFonts w:hint="eastAsia" w:ascii="宋体" w:hAnsi="宋体" w:cs="宋体"/>
          <w:szCs w:val="21"/>
        </w:rPr>
        <w:t>根据《</w:t>
      </w:r>
      <w:r>
        <w:rPr>
          <w:rFonts w:hint="eastAsia" w:ascii="宋体" w:hAnsi="宋体" w:cs="宋体"/>
          <w:kern w:val="0"/>
          <w:szCs w:val="21"/>
        </w:rPr>
        <w:t>中华人民共和国招标投标法</w:t>
      </w:r>
      <w:r>
        <w:rPr>
          <w:rFonts w:hint="eastAsia" w:ascii="宋体" w:hAnsi="宋体" w:cs="宋体"/>
          <w:szCs w:val="21"/>
        </w:rPr>
        <w:t>》和《中华人民共和国民法典》等有关法律、法规和政策，在平等、自愿、协商一致的基础上，就甲方</w:t>
      </w:r>
      <w:r>
        <w:rPr>
          <w:rFonts w:hint="eastAsia" w:ascii="宋体" w:hAnsi="宋体" w:cs="宋体"/>
          <w:szCs w:val="21"/>
          <w:u w:val="single"/>
        </w:rPr>
        <w:t xml:space="preserve">   </w:t>
      </w:r>
      <w:r>
        <w:rPr>
          <w:rFonts w:hint="eastAsia" w:ascii="宋体" w:hAnsi="宋体" w:cs="宋体"/>
          <w:szCs w:val="21"/>
        </w:rPr>
        <w:t>委托乙方</w:t>
      </w:r>
      <w:r>
        <w:rPr>
          <w:rFonts w:hint="eastAsia" w:ascii="宋体" w:hAnsi="宋体" w:cs="宋体"/>
          <w:szCs w:val="21"/>
          <w:u w:val="single"/>
        </w:rPr>
        <w:t xml:space="preserve">   </w:t>
      </w:r>
      <w:r>
        <w:rPr>
          <w:rFonts w:hint="eastAsia" w:ascii="宋体" w:hAnsi="宋体" w:cs="宋体"/>
          <w:szCs w:val="21"/>
        </w:rPr>
        <w:t>对</w:t>
      </w:r>
      <w:r>
        <w:rPr>
          <w:rFonts w:hint="eastAsia" w:ascii="宋体" w:hAnsi="宋体" w:cs="宋体"/>
          <w:szCs w:val="21"/>
          <w:u w:val="single"/>
        </w:rPr>
        <w:t xml:space="preserve">   </w:t>
      </w:r>
      <w:r>
        <w:rPr>
          <w:rFonts w:hint="eastAsia" w:ascii="宋体" w:hAnsi="宋体" w:cs="宋体"/>
          <w:szCs w:val="21"/>
        </w:rPr>
        <w:t>实行专业化、一体化的管理订立本合同。</w:t>
      </w:r>
    </w:p>
    <w:p w14:paraId="189DE027">
      <w:pPr>
        <w:pStyle w:val="156"/>
        <w:spacing w:line="360" w:lineRule="auto"/>
        <w:ind w:firstLine="422"/>
        <w:rPr>
          <w:rFonts w:hint="eastAsia" w:ascii="宋体" w:hAnsi="宋体" w:cs="宋体"/>
          <w:b/>
          <w:szCs w:val="21"/>
        </w:rPr>
      </w:pPr>
      <w:r>
        <w:rPr>
          <w:rFonts w:hint="eastAsia" w:ascii="宋体" w:hAnsi="宋体" w:cs="宋体"/>
          <w:b/>
          <w:szCs w:val="21"/>
        </w:rPr>
        <w:t>第一条  基本情况</w:t>
      </w:r>
    </w:p>
    <w:p w14:paraId="7BACE9EB">
      <w:pPr>
        <w:tabs>
          <w:tab w:val="left" w:pos="2977"/>
        </w:tabs>
        <w:spacing w:line="360" w:lineRule="auto"/>
        <w:ind w:firstLine="420" w:firstLineChars="200"/>
        <w:rPr>
          <w:rFonts w:hint="eastAsia" w:ascii="宋体" w:hAnsi="宋体" w:cs="宋体"/>
          <w:szCs w:val="21"/>
        </w:rPr>
      </w:pPr>
      <w:r>
        <w:rPr>
          <w:rFonts w:hint="eastAsia" w:ascii="宋体" w:hAnsi="宋体" w:cs="宋体"/>
          <w:szCs w:val="21"/>
        </w:rPr>
        <w:t>名称：</w:t>
      </w:r>
      <w:r>
        <w:rPr>
          <w:rFonts w:hint="eastAsia" w:ascii="宋体" w:hAnsi="宋体" w:cs="宋体"/>
          <w:szCs w:val="21"/>
          <w:u w:val="single"/>
        </w:rPr>
        <w:t xml:space="preserve">                        </w:t>
      </w:r>
      <w:r>
        <w:rPr>
          <w:rFonts w:hint="eastAsia" w:ascii="宋体" w:hAnsi="宋体" w:cs="宋体"/>
          <w:szCs w:val="21"/>
        </w:rPr>
        <w:t xml:space="preserve">    </w:t>
      </w:r>
    </w:p>
    <w:p w14:paraId="3396CD97">
      <w:pPr>
        <w:spacing w:line="360" w:lineRule="auto"/>
        <w:ind w:firstLine="420" w:firstLineChars="200"/>
        <w:rPr>
          <w:rFonts w:hint="eastAsia" w:ascii="宋体" w:hAnsi="宋体" w:cs="宋体"/>
          <w:szCs w:val="21"/>
        </w:rPr>
      </w:pPr>
      <w:r>
        <w:rPr>
          <w:rFonts w:hint="eastAsia" w:ascii="宋体" w:hAnsi="宋体" w:cs="宋体"/>
          <w:szCs w:val="21"/>
        </w:rPr>
        <w:t xml:space="preserve">类型： </w:t>
      </w:r>
      <w:r>
        <w:rPr>
          <w:rFonts w:hint="eastAsia" w:ascii="宋体" w:hAnsi="宋体" w:cs="宋体"/>
          <w:szCs w:val="21"/>
          <w:u w:val="single"/>
        </w:rPr>
        <w:t xml:space="preserve">                       </w:t>
      </w:r>
      <w:r>
        <w:rPr>
          <w:rFonts w:hint="eastAsia" w:ascii="宋体" w:hAnsi="宋体" w:cs="宋体"/>
          <w:szCs w:val="21"/>
        </w:rPr>
        <w:t xml:space="preserve"> </w:t>
      </w:r>
    </w:p>
    <w:p w14:paraId="3B59DF04">
      <w:pPr>
        <w:spacing w:line="360" w:lineRule="auto"/>
        <w:ind w:firstLine="420" w:firstLineChars="200"/>
        <w:rPr>
          <w:rFonts w:hint="eastAsia" w:ascii="宋体" w:hAnsi="宋体" w:cs="宋体"/>
          <w:szCs w:val="21"/>
        </w:rPr>
      </w:pPr>
      <w:r>
        <w:rPr>
          <w:rFonts w:hint="eastAsia" w:ascii="宋体" w:hAnsi="宋体" w:cs="宋体"/>
          <w:szCs w:val="21"/>
        </w:rPr>
        <w:t>坐落位置：</w:t>
      </w:r>
      <w:r>
        <w:rPr>
          <w:rFonts w:hint="eastAsia" w:ascii="宋体" w:hAnsi="宋体" w:cs="宋体"/>
          <w:szCs w:val="21"/>
          <w:u w:val="single"/>
        </w:rPr>
        <w:t xml:space="preserve">                    </w:t>
      </w:r>
    </w:p>
    <w:p w14:paraId="01CD6909">
      <w:pPr>
        <w:pStyle w:val="156"/>
        <w:spacing w:line="360" w:lineRule="auto"/>
        <w:ind w:firstLine="422"/>
        <w:rPr>
          <w:rFonts w:hint="eastAsia" w:ascii="宋体" w:hAnsi="宋体" w:cs="宋体"/>
          <w:b/>
          <w:szCs w:val="21"/>
        </w:rPr>
      </w:pPr>
      <w:r>
        <w:rPr>
          <w:rFonts w:hint="eastAsia" w:ascii="宋体" w:hAnsi="宋体" w:cs="宋体"/>
          <w:b/>
          <w:szCs w:val="21"/>
        </w:rPr>
        <w:t>第二条 委托事项</w:t>
      </w:r>
    </w:p>
    <w:p w14:paraId="404323CF">
      <w:pPr>
        <w:pStyle w:val="156"/>
        <w:spacing w:line="360" w:lineRule="auto"/>
        <w:ind w:firstLine="0" w:firstLineChars="0"/>
        <w:rPr>
          <w:rFonts w:hint="eastAsia" w:ascii="宋体" w:hAnsi="宋体" w:cs="宋体"/>
          <w:kern w:val="0"/>
          <w:szCs w:val="21"/>
        </w:rPr>
      </w:pPr>
      <w:r>
        <w:rPr>
          <w:rFonts w:hint="eastAsia" w:ascii="宋体" w:hAnsi="宋体" w:cs="宋体"/>
          <w:b/>
          <w:szCs w:val="21"/>
        </w:rPr>
        <w:t xml:space="preserve">    </w:t>
      </w:r>
      <w:r>
        <w:rPr>
          <w:rFonts w:hint="eastAsia" w:ascii="宋体" w:hAnsi="宋体" w:cs="宋体"/>
          <w:b/>
          <w:bCs/>
          <w:szCs w:val="21"/>
          <w:lang w:val="zh-CN"/>
        </w:rPr>
        <w:t>（详见</w:t>
      </w:r>
      <w:r>
        <w:rPr>
          <w:rFonts w:hint="eastAsia" w:ascii="宋体" w:hAnsi="宋体" w:cs="宋体"/>
          <w:b/>
          <w:bCs/>
          <w:szCs w:val="21"/>
        </w:rPr>
        <w:t>招标文件要求</w:t>
      </w:r>
      <w:r>
        <w:rPr>
          <w:rFonts w:hint="eastAsia" w:ascii="宋体" w:hAnsi="宋体" w:cs="宋体"/>
          <w:b/>
          <w:bCs/>
          <w:szCs w:val="21"/>
          <w:lang w:val="zh-CN"/>
        </w:rPr>
        <w:t>）</w:t>
      </w:r>
    </w:p>
    <w:p w14:paraId="6AC1961D">
      <w:pPr>
        <w:pStyle w:val="156"/>
        <w:spacing w:line="360" w:lineRule="auto"/>
        <w:ind w:firstLine="422"/>
        <w:jc w:val="left"/>
        <w:rPr>
          <w:rFonts w:hint="eastAsia" w:ascii="宋体" w:hAnsi="宋体" w:cs="宋体"/>
          <w:b/>
          <w:szCs w:val="21"/>
        </w:rPr>
      </w:pPr>
      <w:r>
        <w:rPr>
          <w:rFonts w:hint="eastAsia" w:ascii="宋体" w:hAnsi="宋体" w:cs="宋体"/>
          <w:b/>
          <w:szCs w:val="21"/>
        </w:rPr>
        <w:t>第三条合同期限</w:t>
      </w:r>
    </w:p>
    <w:p w14:paraId="1FA8C62E">
      <w:pPr>
        <w:spacing w:line="360" w:lineRule="auto"/>
        <w:ind w:firstLine="420" w:firstLineChars="200"/>
        <w:rPr>
          <w:rFonts w:hint="eastAsia" w:ascii="宋体" w:hAnsi="宋体" w:cs="宋体"/>
          <w:szCs w:val="21"/>
          <w:u w:val="single"/>
        </w:rPr>
      </w:pPr>
      <w:r>
        <w:rPr>
          <w:rFonts w:hint="eastAsia" w:ascii="宋体" w:hAnsi="宋体" w:cs="宋体"/>
          <w:szCs w:val="21"/>
          <w:u w:val="single"/>
        </w:rPr>
        <w:t xml:space="preserve">服务期限共  年，本次合同履行时间：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日起至</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日止。</w:t>
      </w:r>
      <w:r>
        <w:rPr>
          <w:rFonts w:hint="eastAsia" w:ascii="宋体" w:hAnsi="宋体" w:cs="宋体"/>
          <w:szCs w:val="21"/>
          <w:lang w:val="en-US" w:eastAsia="zh-CN"/>
        </w:rPr>
        <w:t>甲方有正当理由可随时提出终止合同</w:t>
      </w:r>
      <w:r>
        <w:rPr>
          <w:rFonts w:hint="eastAsia" w:ascii="宋体" w:hAnsi="宋体" w:cs="宋体"/>
          <w:szCs w:val="21"/>
          <w:u w:val="none"/>
        </w:rPr>
        <w:t>。</w:t>
      </w:r>
    </w:p>
    <w:p w14:paraId="28C79EEA">
      <w:pPr>
        <w:pStyle w:val="156"/>
        <w:spacing w:line="360" w:lineRule="auto"/>
        <w:ind w:left="420" w:leftChars="200" w:firstLine="0" w:firstLineChars="0"/>
        <w:rPr>
          <w:rFonts w:hint="eastAsia" w:ascii="宋体" w:hAnsi="宋体" w:cs="宋体"/>
          <w:b/>
          <w:szCs w:val="21"/>
        </w:rPr>
      </w:pPr>
      <w:r>
        <w:rPr>
          <w:rFonts w:hint="eastAsia" w:ascii="宋体" w:hAnsi="宋体" w:cs="宋体"/>
          <w:b/>
          <w:szCs w:val="21"/>
        </w:rPr>
        <w:t>第四条物业管理收费</w:t>
      </w:r>
    </w:p>
    <w:p w14:paraId="0D28466F">
      <w:pPr>
        <w:spacing w:line="360" w:lineRule="auto"/>
        <w:ind w:firstLine="420" w:firstLineChars="200"/>
        <w:rPr>
          <w:rFonts w:hint="eastAsia" w:ascii="宋体" w:hAnsi="宋体" w:cs="宋体"/>
          <w:szCs w:val="21"/>
        </w:rPr>
      </w:pPr>
      <w:r>
        <w:rPr>
          <w:rFonts w:hint="eastAsia" w:ascii="宋体" w:hAnsi="宋体" w:cs="宋体"/>
          <w:szCs w:val="21"/>
        </w:rPr>
        <w:t>本合同期内配备服务人数</w:t>
      </w:r>
      <w:r>
        <w:rPr>
          <w:rFonts w:hint="eastAsia" w:ascii="宋体" w:hAnsi="宋体" w:cs="宋体"/>
          <w:szCs w:val="21"/>
          <w:u w:val="single"/>
        </w:rPr>
        <w:t xml:space="preserve">    </w:t>
      </w:r>
      <w:r>
        <w:rPr>
          <w:rFonts w:hint="eastAsia" w:ascii="宋体" w:hAnsi="宋体" w:cs="宋体"/>
          <w:szCs w:val="21"/>
        </w:rPr>
        <w:t>人，年物业服务费</w:t>
      </w:r>
      <w:r>
        <w:rPr>
          <w:rFonts w:hint="eastAsia" w:ascii="宋体" w:hAnsi="宋体" w:cs="宋体"/>
          <w:szCs w:val="21"/>
          <w:u w:val="single"/>
        </w:rPr>
        <w:t xml:space="preserve">   </w:t>
      </w:r>
      <w:r>
        <w:rPr>
          <w:rFonts w:hint="eastAsia" w:ascii="宋体" w:hAnsi="宋体" w:cs="宋体"/>
          <w:szCs w:val="21"/>
        </w:rPr>
        <w:t>元。采用包干制，除本合同明确约定可以另行收费的费用外，所有人工费、保洁工具设备、物料费（垃圾袋、清洁用品、工服等）、税费、管理费等均包括在内，乙方不得另行向甲方或使用人收取任何费用。物业服务费成本监审：</w:t>
      </w:r>
    </w:p>
    <w:p w14:paraId="5D22D87B">
      <w:pPr>
        <w:spacing w:line="360" w:lineRule="auto"/>
        <w:ind w:firstLine="420" w:firstLineChars="200"/>
        <w:rPr>
          <w:rFonts w:hint="eastAsia" w:ascii="宋体" w:hAnsi="宋体" w:cs="宋体"/>
          <w:szCs w:val="21"/>
        </w:rPr>
      </w:pPr>
      <w:r>
        <w:rPr>
          <w:rFonts w:hint="eastAsia" w:ascii="宋体" w:hAnsi="宋体" w:cs="宋体"/>
          <w:szCs w:val="21"/>
        </w:rPr>
        <w:t>乙方承诺，接收甲方主管部门实施的物业服务费成本监审，并遵守以下原则：</w:t>
      </w:r>
    </w:p>
    <w:p w14:paraId="1CD7BD74">
      <w:pPr>
        <w:spacing w:line="360" w:lineRule="auto"/>
        <w:ind w:firstLine="420" w:firstLineChars="200"/>
        <w:rPr>
          <w:rFonts w:hint="eastAsia" w:ascii="宋体" w:hAnsi="宋体" w:cs="宋体"/>
          <w:szCs w:val="21"/>
        </w:rPr>
      </w:pPr>
      <w:r>
        <w:rPr>
          <w:rFonts w:hint="eastAsia" w:ascii="宋体" w:hAnsi="宋体" w:cs="宋体"/>
          <w:szCs w:val="21"/>
        </w:rPr>
        <w:t>1.合法性原则。计入定价成本的费用符合有关法律、行政法律和国家统一会计制度的规定；</w:t>
      </w:r>
    </w:p>
    <w:p w14:paraId="1B8BCBA8">
      <w:pPr>
        <w:spacing w:line="360" w:lineRule="auto"/>
        <w:ind w:firstLine="420" w:firstLineChars="200"/>
        <w:rPr>
          <w:rFonts w:hint="eastAsia" w:ascii="宋体" w:hAnsi="宋体" w:cs="宋体"/>
          <w:szCs w:val="21"/>
        </w:rPr>
      </w:pPr>
      <w:r>
        <w:rPr>
          <w:rFonts w:hint="eastAsia" w:ascii="宋体" w:hAnsi="宋体" w:cs="宋体"/>
          <w:szCs w:val="21"/>
        </w:rPr>
        <w:t>2.相关性原则。计入定价成本的费用为与物业服务直接相关或间接相关的费用；</w:t>
      </w:r>
    </w:p>
    <w:p w14:paraId="5D10AE91">
      <w:pPr>
        <w:spacing w:line="360" w:lineRule="auto"/>
        <w:ind w:firstLine="420" w:firstLineChars="200"/>
        <w:rPr>
          <w:rFonts w:hint="eastAsia" w:ascii="宋体" w:hAnsi="宋体" w:cs="宋体"/>
          <w:szCs w:val="21"/>
        </w:rPr>
      </w:pPr>
      <w:r>
        <w:rPr>
          <w:rFonts w:hint="eastAsia" w:ascii="宋体" w:hAnsi="宋体" w:cs="宋体"/>
          <w:szCs w:val="21"/>
        </w:rPr>
        <w:t>3.对应性原则。计入定价成本的费用与物业服务内及服务标准相对应；</w:t>
      </w:r>
    </w:p>
    <w:p w14:paraId="6405D5E7">
      <w:pPr>
        <w:spacing w:line="360" w:lineRule="auto"/>
        <w:ind w:firstLine="420" w:firstLineChars="200"/>
        <w:rPr>
          <w:rFonts w:hint="eastAsia" w:ascii="宋体" w:hAnsi="宋体" w:cs="宋体"/>
          <w:szCs w:val="21"/>
        </w:rPr>
      </w:pPr>
      <w:r>
        <w:rPr>
          <w:rFonts w:hint="eastAsia" w:ascii="宋体" w:hAnsi="宋体" w:cs="宋体"/>
          <w:szCs w:val="21"/>
        </w:rPr>
        <w:t>4.合理性原则。与物业服务定价成本各项费用的主要技术、经济指标均符合行业标准或者社会公允水平。</w:t>
      </w:r>
    </w:p>
    <w:p w14:paraId="4EEBE7F8">
      <w:pPr>
        <w:pStyle w:val="156"/>
        <w:spacing w:line="360" w:lineRule="auto"/>
        <w:ind w:left="420" w:leftChars="200" w:firstLine="0" w:firstLineChars="0"/>
        <w:rPr>
          <w:rFonts w:hint="eastAsia" w:ascii="宋体" w:hAnsi="宋体" w:cs="宋体"/>
          <w:b/>
          <w:szCs w:val="21"/>
        </w:rPr>
      </w:pPr>
      <w:r>
        <w:rPr>
          <w:rFonts w:hint="eastAsia" w:ascii="宋体" w:hAnsi="宋体" w:cs="宋体"/>
          <w:b/>
          <w:szCs w:val="21"/>
        </w:rPr>
        <w:t>第五条 费用结算方式</w:t>
      </w:r>
    </w:p>
    <w:p w14:paraId="4B2EE1E5">
      <w:pPr>
        <w:pStyle w:val="156"/>
        <w:spacing w:line="360" w:lineRule="auto"/>
        <w:rPr>
          <w:rFonts w:hint="eastAsia" w:ascii="宋体" w:hAnsi="宋体" w:cs="宋体"/>
          <w:bCs/>
          <w:szCs w:val="21"/>
        </w:rPr>
      </w:pPr>
      <w:r>
        <w:rPr>
          <w:rFonts w:hint="eastAsia" w:ascii="宋体" w:hAnsi="宋体" w:cs="宋体"/>
          <w:szCs w:val="21"/>
          <w:u w:val="single"/>
        </w:rPr>
        <w:t>物业服务费每月结算一次，先服务后付费，乙方如无违约情况发生，甲方在次月   号之前收到乙方提供的增值税专用发票后向乙方支付上一月物业服务费（即月度承包服务款），每次支付人民币（根据中标价格计算）元（大写：     元）；乙方如有违约情况发生，甲方将扣除相应数额后再进行支付。</w:t>
      </w:r>
      <w:r>
        <w:rPr>
          <w:rFonts w:hint="eastAsia" w:ascii="宋体" w:hAnsi="宋体" w:cs="宋体"/>
          <w:b/>
          <w:szCs w:val="21"/>
        </w:rPr>
        <w:t xml:space="preserve">  </w:t>
      </w:r>
    </w:p>
    <w:p w14:paraId="609CEEFF">
      <w:pPr>
        <w:pStyle w:val="156"/>
        <w:spacing w:line="360" w:lineRule="auto"/>
        <w:rPr>
          <w:rFonts w:hint="eastAsia" w:ascii="宋体" w:hAnsi="宋体" w:cs="宋体"/>
          <w:bCs/>
          <w:szCs w:val="21"/>
        </w:rPr>
      </w:pPr>
      <w:r>
        <w:rPr>
          <w:rFonts w:hint="eastAsia" w:ascii="宋体" w:hAnsi="宋体" w:cs="宋体"/>
          <w:bCs/>
          <w:szCs w:val="21"/>
        </w:rPr>
        <w:t>合同生效之日起五个工作日内，乙方应向甲方一次性支付履约保证金（即合同总额的5%）。合同期满，乙方未</w:t>
      </w:r>
      <w:r>
        <w:rPr>
          <w:rFonts w:hint="eastAsia" w:ascii="宋体" w:hAnsi="宋体" w:cs="宋体"/>
          <w:szCs w:val="21"/>
        </w:rPr>
        <w:t>未违反合同相关约定的，甲方应在合同到期后十个工作日内无息一次性退还乙方履约保证金。</w:t>
      </w:r>
      <w:r>
        <w:rPr>
          <w:rFonts w:hint="eastAsia" w:ascii="宋体" w:hAnsi="宋体" w:cs="宋体"/>
          <w:bCs/>
          <w:szCs w:val="21"/>
        </w:rPr>
        <w:t xml:space="preserve">                                      </w:t>
      </w:r>
    </w:p>
    <w:p w14:paraId="7F89A08C">
      <w:pPr>
        <w:pStyle w:val="156"/>
        <w:spacing w:line="360" w:lineRule="auto"/>
        <w:ind w:left="420" w:leftChars="200" w:firstLine="0" w:firstLineChars="0"/>
        <w:rPr>
          <w:rFonts w:hint="eastAsia" w:ascii="宋体" w:hAnsi="宋体" w:cs="宋体"/>
          <w:b/>
          <w:szCs w:val="21"/>
        </w:rPr>
      </w:pPr>
      <w:r>
        <w:rPr>
          <w:rFonts w:hint="eastAsia" w:ascii="宋体" w:hAnsi="宋体" w:cs="宋体"/>
          <w:b/>
          <w:szCs w:val="21"/>
        </w:rPr>
        <w:t>第六条 经营制约</w:t>
      </w:r>
    </w:p>
    <w:p w14:paraId="5DE11AFC">
      <w:pPr>
        <w:spacing w:line="360" w:lineRule="auto"/>
        <w:ind w:firstLine="420" w:firstLineChars="200"/>
        <w:rPr>
          <w:rFonts w:hint="eastAsia" w:ascii="宋体" w:hAnsi="宋体" w:cs="宋体"/>
          <w:szCs w:val="21"/>
        </w:rPr>
      </w:pPr>
      <w:r>
        <w:rPr>
          <w:rFonts w:hint="eastAsia" w:ascii="宋体" w:hAnsi="宋体" w:cs="宋体"/>
          <w:szCs w:val="21"/>
        </w:rPr>
        <w:t>1.未经甲方同意，乙方无权在承包区域中从事任何广告活动或类似宣传，甲方有权依照广告法和甲方相关的规定责令乙方限期改正，并接受处罚；但甲方在该区域发布的广告宣传保证不致影响乙方的正常工作；</w:t>
      </w:r>
    </w:p>
    <w:p w14:paraId="1FD526C4">
      <w:pPr>
        <w:spacing w:line="360" w:lineRule="auto"/>
        <w:ind w:firstLine="420" w:firstLineChars="200"/>
        <w:rPr>
          <w:rFonts w:hint="eastAsia" w:ascii="宋体" w:hAnsi="宋体" w:cs="宋体"/>
          <w:szCs w:val="21"/>
        </w:rPr>
      </w:pPr>
      <w:r>
        <w:rPr>
          <w:rFonts w:hint="eastAsia" w:ascii="宋体" w:hAnsi="宋体" w:cs="宋体"/>
          <w:szCs w:val="21"/>
        </w:rPr>
        <w:t>2.乙方不得以甲方的名义从事任何经济活动，且由此发生的一切债权、债务与甲方无关。</w:t>
      </w:r>
    </w:p>
    <w:p w14:paraId="4F3CF249">
      <w:pPr>
        <w:spacing w:line="360" w:lineRule="auto"/>
        <w:ind w:firstLine="420" w:firstLineChars="200"/>
        <w:rPr>
          <w:rFonts w:hint="eastAsia" w:ascii="宋体" w:hAnsi="宋体" w:cs="宋体"/>
          <w:szCs w:val="21"/>
        </w:rPr>
      </w:pPr>
      <w:r>
        <w:rPr>
          <w:rFonts w:hint="eastAsia" w:ascii="宋体" w:hAnsi="宋体" w:cs="宋体"/>
          <w:szCs w:val="21"/>
        </w:rPr>
        <w:t>3.甲方不定期定时抽查乙方的人员数量，如果抽查时发现乙方在工作时间内有缺岗情况的，甲方可以在48小时后按缺少岗位每天</w:t>
      </w:r>
      <w:r>
        <w:rPr>
          <w:rFonts w:hint="eastAsia" w:ascii="宋体" w:hAnsi="宋体" w:cs="宋体"/>
          <w:szCs w:val="21"/>
          <w:u w:val="single"/>
        </w:rPr>
        <w:t xml:space="preserve">      </w:t>
      </w:r>
      <w:r>
        <w:rPr>
          <w:rFonts w:hint="eastAsia" w:ascii="宋体" w:hAnsi="宋体" w:cs="宋体"/>
          <w:szCs w:val="21"/>
        </w:rPr>
        <w:t>元的标准在当月合同款中累计扣除。</w:t>
      </w:r>
    </w:p>
    <w:p w14:paraId="7027C67D">
      <w:pPr>
        <w:spacing w:line="360" w:lineRule="auto"/>
        <w:ind w:firstLine="420" w:firstLineChars="200"/>
        <w:rPr>
          <w:rFonts w:hint="eastAsia" w:ascii="宋体" w:hAnsi="宋体" w:cs="宋体"/>
          <w:szCs w:val="21"/>
        </w:rPr>
      </w:pPr>
      <w:r>
        <w:rPr>
          <w:rFonts w:hint="eastAsia" w:ascii="宋体" w:hAnsi="宋体" w:cs="宋体"/>
          <w:szCs w:val="21"/>
        </w:rPr>
        <w:t>4.每月费用结算前向物管中心的物业主管部门上报考勤表、下期排班表。</w:t>
      </w:r>
    </w:p>
    <w:p w14:paraId="40F69FCC">
      <w:pPr>
        <w:spacing w:line="360" w:lineRule="auto"/>
        <w:ind w:firstLine="420" w:firstLineChars="200"/>
        <w:rPr>
          <w:rFonts w:hint="eastAsia" w:ascii="宋体" w:hAnsi="宋体" w:cs="宋体"/>
          <w:szCs w:val="21"/>
        </w:rPr>
      </w:pPr>
      <w:r>
        <w:rPr>
          <w:rFonts w:hint="eastAsia" w:ascii="宋体" w:hAnsi="宋体" w:cs="宋体"/>
          <w:szCs w:val="21"/>
        </w:rPr>
        <w:t>5.乙方服务人员身份证、登记录用表复印件报甲方备案。</w:t>
      </w:r>
    </w:p>
    <w:p w14:paraId="505D2EA6">
      <w:pPr>
        <w:pStyle w:val="156"/>
        <w:spacing w:line="360" w:lineRule="auto"/>
        <w:ind w:left="420" w:leftChars="200" w:firstLine="0" w:firstLineChars="0"/>
        <w:rPr>
          <w:rFonts w:hint="eastAsia" w:ascii="宋体" w:hAnsi="宋体" w:cs="宋体"/>
          <w:b/>
          <w:szCs w:val="21"/>
        </w:rPr>
      </w:pPr>
      <w:r>
        <w:rPr>
          <w:rFonts w:hint="eastAsia" w:ascii="宋体" w:hAnsi="宋体" w:cs="宋体"/>
          <w:b/>
          <w:szCs w:val="21"/>
        </w:rPr>
        <w:t>第七条 乙方对甲方作出如下承诺：</w:t>
      </w:r>
    </w:p>
    <w:p w14:paraId="21D37278">
      <w:pPr>
        <w:spacing w:line="360" w:lineRule="auto"/>
        <w:ind w:firstLine="420" w:firstLineChars="200"/>
        <w:rPr>
          <w:rFonts w:hint="eastAsia" w:ascii="宋体" w:hAnsi="宋体" w:cs="宋体"/>
          <w:szCs w:val="21"/>
        </w:rPr>
      </w:pPr>
      <w:r>
        <w:rPr>
          <w:rFonts w:hint="eastAsia" w:ascii="宋体" w:hAnsi="宋体" w:cs="宋体"/>
          <w:szCs w:val="21"/>
        </w:rPr>
        <w:t>1.不以任何形式转包、分包承包区域，在承包区域只从事甲方认可的服务工作。在承包期间，乙方的任何股份配置变动应通知甲方。</w:t>
      </w:r>
    </w:p>
    <w:p w14:paraId="47DB291B">
      <w:pPr>
        <w:spacing w:line="360" w:lineRule="auto"/>
        <w:ind w:firstLine="420" w:firstLineChars="200"/>
        <w:rPr>
          <w:rFonts w:hint="eastAsia" w:ascii="宋体" w:hAnsi="宋体" w:cs="宋体"/>
          <w:szCs w:val="21"/>
        </w:rPr>
      </w:pPr>
      <w:r>
        <w:rPr>
          <w:rFonts w:hint="eastAsia" w:ascii="宋体" w:hAnsi="宋体" w:cs="宋体"/>
          <w:szCs w:val="21"/>
        </w:rPr>
        <w:t>2.乙方应允许甲方或其授权的人员对承包区域内各项服务质量控制进行检查，有关费用由乙方承担。</w:t>
      </w:r>
    </w:p>
    <w:p w14:paraId="3DC4BD89">
      <w:pPr>
        <w:spacing w:line="360" w:lineRule="auto"/>
        <w:ind w:firstLine="420" w:firstLineChars="200"/>
        <w:rPr>
          <w:rFonts w:hint="eastAsia" w:ascii="宋体" w:hAnsi="宋体" w:cs="宋体"/>
          <w:szCs w:val="21"/>
        </w:rPr>
      </w:pPr>
      <w:r>
        <w:rPr>
          <w:rFonts w:hint="eastAsia" w:ascii="宋体" w:hAnsi="宋体" w:cs="宋体"/>
          <w:szCs w:val="21"/>
        </w:rPr>
        <w:t>3.在承包区域的各项服务，其工作时间必须满足甲方的工作要求，包括双休日及公众假期。如遇特殊情况，甲方可要求乙方调整工作时间直至全天二十四小时工作。</w:t>
      </w:r>
    </w:p>
    <w:p w14:paraId="3FA80A9C">
      <w:pPr>
        <w:spacing w:line="360" w:lineRule="auto"/>
        <w:ind w:firstLine="420" w:firstLineChars="200"/>
        <w:rPr>
          <w:rFonts w:hint="eastAsia" w:ascii="宋体" w:hAnsi="宋体" w:cs="宋体"/>
          <w:szCs w:val="21"/>
        </w:rPr>
      </w:pPr>
      <w:r>
        <w:rPr>
          <w:rFonts w:hint="eastAsia" w:ascii="宋体" w:hAnsi="宋体" w:cs="宋体"/>
          <w:szCs w:val="21"/>
        </w:rPr>
        <w:t>4.甲方会安排一个物业主管人员，乙方必须设置主管或班长与甲方物业主管人员保持密切联系并保证承包区域服务工作。根据综合考评或工作情况，甲方有权要求乙方在一个星期内更换主管或班长。</w:t>
      </w:r>
    </w:p>
    <w:p w14:paraId="2CABD458">
      <w:pPr>
        <w:spacing w:line="360" w:lineRule="auto"/>
        <w:ind w:firstLine="420" w:firstLineChars="200"/>
        <w:rPr>
          <w:rFonts w:hint="eastAsia" w:ascii="宋体" w:hAnsi="宋体" w:cs="宋体"/>
          <w:szCs w:val="21"/>
        </w:rPr>
      </w:pPr>
      <w:r>
        <w:rPr>
          <w:rFonts w:hint="eastAsia" w:ascii="宋体" w:hAnsi="宋体" w:cs="宋体"/>
          <w:szCs w:val="21"/>
        </w:rPr>
        <w:t>5.乙方聘用的工作人员必须符合劳动部门有关用工规定，并经乙方相关专业考核合格后持证上岗，甲方有权进行审核，该类费用开支由乙方负担。</w:t>
      </w:r>
    </w:p>
    <w:p w14:paraId="56FE0D5B">
      <w:pPr>
        <w:spacing w:line="360" w:lineRule="auto"/>
        <w:ind w:firstLine="420" w:firstLineChars="200"/>
        <w:rPr>
          <w:rFonts w:hint="eastAsia" w:ascii="宋体" w:hAnsi="宋体" w:cs="宋体"/>
          <w:szCs w:val="21"/>
        </w:rPr>
      </w:pPr>
      <w:r>
        <w:rPr>
          <w:rFonts w:hint="eastAsia" w:ascii="宋体" w:hAnsi="宋体" w:cs="宋体"/>
          <w:szCs w:val="21"/>
        </w:rPr>
        <w:t>6.在承包期间，乙方所有人员仅与乙方建立劳动合同关系，且所有人员使用须符合《劳动合同法》的有关规定。乙方人员发生任何事故或乙方发生劳动争议均由乙方自行全权负责，相关费用乙方自行承担，以保证甲方在乙方人员索赔时不受任何责任的约束。</w:t>
      </w:r>
    </w:p>
    <w:p w14:paraId="6B5350A5">
      <w:pPr>
        <w:spacing w:line="360" w:lineRule="auto"/>
        <w:ind w:firstLine="420" w:firstLineChars="200"/>
        <w:rPr>
          <w:rFonts w:hint="eastAsia" w:ascii="宋体" w:hAnsi="宋体" w:cs="宋体"/>
          <w:szCs w:val="21"/>
        </w:rPr>
      </w:pPr>
      <w:r>
        <w:rPr>
          <w:rFonts w:hint="eastAsia" w:ascii="宋体" w:hAnsi="宋体" w:cs="宋体"/>
          <w:szCs w:val="21"/>
        </w:rPr>
        <w:t>7.乙方工作人员上岗穿着由甲方确认的制服及甲方许可的装饰物品，费用和制作均由乙方负担。</w:t>
      </w:r>
    </w:p>
    <w:p w14:paraId="7649BC0E">
      <w:pPr>
        <w:spacing w:line="360" w:lineRule="auto"/>
        <w:ind w:firstLine="420" w:firstLineChars="200"/>
        <w:rPr>
          <w:rFonts w:hint="eastAsia" w:ascii="宋体" w:hAnsi="宋体" w:cs="宋体"/>
          <w:szCs w:val="21"/>
        </w:rPr>
      </w:pPr>
      <w:r>
        <w:rPr>
          <w:rFonts w:hint="eastAsia" w:ascii="宋体" w:hAnsi="宋体" w:cs="宋体"/>
          <w:szCs w:val="21"/>
        </w:rPr>
        <w:t>8.乙方必须出具或办妥法律及甲方规定的与承包区域经营业务有关的执照和许可证，方可从事经营并在经营中遵守一切有关条例和规定。自行缴纳有关税、费。</w:t>
      </w:r>
    </w:p>
    <w:p w14:paraId="05C05781">
      <w:pPr>
        <w:spacing w:line="360" w:lineRule="auto"/>
        <w:ind w:firstLine="420" w:firstLineChars="200"/>
        <w:rPr>
          <w:rFonts w:hint="eastAsia" w:ascii="宋体" w:hAnsi="宋体" w:cs="宋体"/>
          <w:szCs w:val="21"/>
        </w:rPr>
      </w:pPr>
      <w:r>
        <w:rPr>
          <w:rFonts w:hint="eastAsia" w:ascii="宋体" w:hAnsi="宋体" w:cs="宋体"/>
          <w:szCs w:val="21"/>
        </w:rPr>
        <w:t>9.乙方必须确保为甲方提供优质、高效的专业服务，并根据甲方要求改变不满意的服务状况。接受有关部门监督与检查。同时，乙方自觉参加甲方认为有助提高甲方形象的宣传活动。</w:t>
      </w:r>
    </w:p>
    <w:p w14:paraId="3EE9B16D">
      <w:pPr>
        <w:spacing w:line="360" w:lineRule="auto"/>
        <w:ind w:firstLine="420" w:firstLineChars="200"/>
        <w:rPr>
          <w:rFonts w:hint="eastAsia" w:ascii="宋体" w:hAnsi="宋体" w:cs="宋体"/>
          <w:bCs/>
          <w:szCs w:val="21"/>
        </w:rPr>
      </w:pPr>
      <w:r>
        <w:rPr>
          <w:rFonts w:hint="eastAsia" w:ascii="宋体" w:hAnsi="宋体" w:cs="宋体"/>
          <w:bCs/>
          <w:szCs w:val="21"/>
        </w:rPr>
        <w:t>10.禁止事项</w:t>
      </w:r>
    </w:p>
    <w:p w14:paraId="264879F7">
      <w:pPr>
        <w:spacing w:line="360" w:lineRule="auto"/>
        <w:ind w:firstLine="420" w:firstLineChars="200"/>
        <w:rPr>
          <w:rFonts w:hint="eastAsia" w:ascii="宋体" w:hAnsi="宋体" w:cs="宋体"/>
          <w:szCs w:val="21"/>
        </w:rPr>
      </w:pPr>
      <w:r>
        <w:rPr>
          <w:rFonts w:hint="eastAsia" w:ascii="宋体" w:hAnsi="宋体" w:cs="宋体"/>
          <w:szCs w:val="21"/>
        </w:rPr>
        <w:t>10.1乙方不得以任何理由向甲方工作人员支付小费或赠送实物，违者将终止合同。乙方人员也不得以任何形式向甲方及相关人员索取小费或钱物等。</w:t>
      </w:r>
    </w:p>
    <w:p w14:paraId="457BCAA1">
      <w:pPr>
        <w:spacing w:line="360" w:lineRule="auto"/>
        <w:ind w:firstLine="420" w:firstLineChars="200"/>
        <w:rPr>
          <w:rFonts w:hint="eastAsia" w:ascii="宋体" w:hAnsi="宋体" w:cs="宋体"/>
          <w:szCs w:val="21"/>
        </w:rPr>
      </w:pPr>
      <w:r>
        <w:rPr>
          <w:rFonts w:hint="eastAsia" w:ascii="宋体" w:hAnsi="宋体" w:cs="宋体"/>
          <w:szCs w:val="21"/>
        </w:rPr>
        <w:t>10.2不得在承包区域住宿或从事非法活动，也不得从事有损甲方利益的活动，同时不允许在承包区域对甲方经营活动进行滋扰性的行为。</w:t>
      </w:r>
    </w:p>
    <w:p w14:paraId="39194A6C">
      <w:pPr>
        <w:spacing w:line="360" w:lineRule="auto"/>
        <w:ind w:firstLine="420" w:firstLineChars="200"/>
        <w:rPr>
          <w:rFonts w:hint="eastAsia" w:ascii="宋体" w:hAnsi="宋体" w:cs="宋体"/>
          <w:bCs/>
          <w:szCs w:val="21"/>
        </w:rPr>
      </w:pPr>
      <w:r>
        <w:rPr>
          <w:rFonts w:hint="eastAsia" w:ascii="宋体" w:hAnsi="宋体" w:cs="宋体"/>
          <w:bCs/>
          <w:szCs w:val="21"/>
        </w:rPr>
        <w:t>11. 人员费用及责任</w:t>
      </w:r>
    </w:p>
    <w:p w14:paraId="1A48D319">
      <w:pPr>
        <w:spacing w:line="360" w:lineRule="auto"/>
        <w:ind w:firstLine="420" w:firstLineChars="200"/>
        <w:rPr>
          <w:rFonts w:hint="eastAsia" w:ascii="宋体" w:hAnsi="宋体" w:cs="宋体"/>
          <w:szCs w:val="21"/>
        </w:rPr>
      </w:pPr>
      <w:r>
        <w:rPr>
          <w:rFonts w:hint="eastAsia" w:ascii="宋体" w:hAnsi="宋体" w:cs="宋体"/>
          <w:szCs w:val="21"/>
        </w:rPr>
        <w:t>11.1乙方须按《劳动合同法》和政府有关各部门规定为全体服务人员交纳所有相关的社会保险、加班工资及其他相关费用。乙方对此全权负责。在乙方的责任区内由于乙方原因导致自己员工或第三方的事故由乙方负责，甲方不承担任何责任。</w:t>
      </w:r>
    </w:p>
    <w:p w14:paraId="76D732F5">
      <w:pPr>
        <w:spacing w:line="360" w:lineRule="auto"/>
        <w:ind w:firstLine="420" w:firstLineChars="200"/>
        <w:rPr>
          <w:rFonts w:hint="eastAsia" w:ascii="宋体" w:hAnsi="宋体" w:cs="宋体"/>
          <w:szCs w:val="21"/>
        </w:rPr>
      </w:pPr>
      <w:r>
        <w:rPr>
          <w:rFonts w:hint="eastAsia" w:ascii="宋体" w:hAnsi="宋体" w:cs="宋体"/>
          <w:szCs w:val="21"/>
        </w:rPr>
        <w:t>11.2员工人身意外</w:t>
      </w:r>
    </w:p>
    <w:p w14:paraId="38CAC8C8">
      <w:pPr>
        <w:spacing w:line="360" w:lineRule="auto"/>
        <w:ind w:firstLine="420" w:firstLineChars="200"/>
        <w:rPr>
          <w:rFonts w:hint="eastAsia" w:ascii="宋体" w:hAnsi="宋体" w:cs="宋体"/>
          <w:szCs w:val="21"/>
        </w:rPr>
      </w:pPr>
      <w:r>
        <w:rPr>
          <w:rFonts w:hint="eastAsia" w:ascii="宋体" w:hAnsi="宋体" w:cs="宋体"/>
          <w:szCs w:val="21"/>
        </w:rPr>
        <w:t>在承包期内，乙方所有人员的事故由乙方自行全权负责，以保证甲方在乙方工作人员索赔时不受任何责任的约束。</w:t>
      </w:r>
    </w:p>
    <w:p w14:paraId="56856A29">
      <w:pPr>
        <w:spacing w:line="360" w:lineRule="auto"/>
        <w:ind w:firstLine="420" w:firstLineChars="200"/>
        <w:rPr>
          <w:rFonts w:hint="eastAsia" w:ascii="宋体" w:hAnsi="宋体" w:cs="宋体"/>
          <w:szCs w:val="21"/>
        </w:rPr>
      </w:pPr>
      <w:r>
        <w:rPr>
          <w:rFonts w:hint="eastAsia" w:ascii="宋体" w:hAnsi="宋体" w:cs="宋体"/>
          <w:szCs w:val="21"/>
        </w:rPr>
        <w:t>12.乙方及其员工遵守甲方的一切行政管理、消防安全等规定和制度，保证承包区域的消防设施能正常使用，消防通道顺畅，同时承担违规责任。</w:t>
      </w:r>
    </w:p>
    <w:p w14:paraId="57468800">
      <w:pPr>
        <w:spacing w:line="360" w:lineRule="auto"/>
        <w:ind w:firstLine="420" w:firstLineChars="200"/>
        <w:rPr>
          <w:rFonts w:hint="eastAsia" w:ascii="宋体" w:hAnsi="宋体" w:cs="宋体"/>
          <w:szCs w:val="21"/>
        </w:rPr>
      </w:pPr>
      <w:r>
        <w:rPr>
          <w:rFonts w:hint="eastAsia" w:ascii="宋体" w:hAnsi="宋体" w:cs="宋体"/>
          <w:szCs w:val="21"/>
        </w:rPr>
        <w:t>13.遇突发事件或安全检查时，乙方必须配合有关部门执行任务，并指定专职人员协助工作，直至完成。</w:t>
      </w:r>
    </w:p>
    <w:p w14:paraId="47DC516D">
      <w:pPr>
        <w:spacing w:line="360" w:lineRule="auto"/>
        <w:ind w:firstLine="420" w:firstLineChars="200"/>
        <w:rPr>
          <w:rFonts w:hint="eastAsia" w:ascii="宋体" w:hAnsi="宋体" w:cs="宋体"/>
          <w:szCs w:val="21"/>
        </w:rPr>
      </w:pPr>
      <w:r>
        <w:rPr>
          <w:rFonts w:hint="eastAsia" w:ascii="宋体" w:hAnsi="宋体" w:cs="宋体"/>
          <w:szCs w:val="21"/>
        </w:rPr>
        <w:t>14.乙方须积极配合甲方对其进行的物业服务综合考评。</w:t>
      </w:r>
    </w:p>
    <w:p w14:paraId="6A2C8BE0">
      <w:pPr>
        <w:pStyle w:val="156"/>
        <w:spacing w:line="360" w:lineRule="auto"/>
        <w:ind w:left="420" w:leftChars="200" w:firstLine="0" w:firstLineChars="0"/>
        <w:rPr>
          <w:rFonts w:hint="eastAsia" w:ascii="宋体" w:hAnsi="宋体" w:cs="宋体"/>
          <w:b/>
          <w:szCs w:val="21"/>
        </w:rPr>
      </w:pPr>
      <w:r>
        <w:rPr>
          <w:rFonts w:hint="eastAsia" w:ascii="宋体" w:hAnsi="宋体" w:cs="宋体"/>
          <w:b/>
          <w:szCs w:val="21"/>
        </w:rPr>
        <w:t>第八条 甲方对乙方作出如下承诺：</w:t>
      </w:r>
    </w:p>
    <w:p w14:paraId="49FF02F1">
      <w:pPr>
        <w:spacing w:line="360" w:lineRule="auto"/>
        <w:ind w:firstLine="420" w:firstLineChars="200"/>
        <w:rPr>
          <w:rFonts w:hint="eastAsia" w:ascii="宋体" w:hAnsi="宋体" w:cs="宋体"/>
          <w:szCs w:val="21"/>
        </w:rPr>
      </w:pPr>
      <w:r>
        <w:rPr>
          <w:rFonts w:hint="eastAsia" w:ascii="宋体" w:hAnsi="宋体" w:cs="宋体"/>
          <w:szCs w:val="21"/>
        </w:rPr>
        <w:t>1.甲方在职权范围内保证乙方的正常经营不受干扰。</w:t>
      </w:r>
    </w:p>
    <w:p w14:paraId="5720A6F9">
      <w:pPr>
        <w:spacing w:line="360" w:lineRule="auto"/>
        <w:ind w:firstLine="420" w:firstLineChars="200"/>
        <w:rPr>
          <w:rFonts w:hint="eastAsia" w:ascii="宋体" w:hAnsi="宋体" w:cs="宋体"/>
          <w:szCs w:val="21"/>
        </w:rPr>
      </w:pPr>
      <w:r>
        <w:rPr>
          <w:rFonts w:hint="eastAsia" w:ascii="宋体" w:hAnsi="宋体" w:cs="宋体"/>
          <w:szCs w:val="21"/>
        </w:rPr>
        <w:t>2.保证乙方的员工按规定正常进入承包区域开展服务工作。</w:t>
      </w:r>
    </w:p>
    <w:p w14:paraId="1AB28CFB">
      <w:pPr>
        <w:pStyle w:val="156"/>
        <w:spacing w:line="360" w:lineRule="auto"/>
        <w:ind w:left="420" w:leftChars="200" w:firstLine="0" w:firstLineChars="0"/>
        <w:rPr>
          <w:rFonts w:hint="eastAsia" w:ascii="宋体" w:hAnsi="宋体" w:cs="宋体"/>
          <w:b/>
          <w:szCs w:val="21"/>
        </w:rPr>
      </w:pPr>
      <w:r>
        <w:rPr>
          <w:rFonts w:hint="eastAsia" w:ascii="宋体" w:hAnsi="宋体" w:cs="宋体"/>
          <w:b/>
          <w:szCs w:val="21"/>
        </w:rPr>
        <w:t>第九条 合同生效和终止：</w:t>
      </w:r>
    </w:p>
    <w:p w14:paraId="4ED72996">
      <w:pPr>
        <w:spacing w:line="360" w:lineRule="auto"/>
        <w:ind w:firstLine="420" w:firstLineChars="200"/>
        <w:rPr>
          <w:rFonts w:hint="eastAsia" w:ascii="宋体" w:hAnsi="宋体" w:cs="宋体"/>
          <w:szCs w:val="21"/>
        </w:rPr>
      </w:pPr>
      <w:r>
        <w:rPr>
          <w:rFonts w:hint="eastAsia" w:ascii="宋体" w:hAnsi="宋体" w:cs="宋体"/>
          <w:szCs w:val="21"/>
        </w:rPr>
        <w:t>1.本合同经甲乙双方盖章后生效。</w:t>
      </w:r>
    </w:p>
    <w:p w14:paraId="2F63465F">
      <w:pPr>
        <w:spacing w:line="360" w:lineRule="auto"/>
        <w:ind w:firstLine="420" w:firstLineChars="200"/>
        <w:rPr>
          <w:rFonts w:hint="eastAsia" w:ascii="宋体" w:hAnsi="宋体" w:cs="宋体"/>
          <w:bCs/>
          <w:szCs w:val="21"/>
        </w:rPr>
      </w:pPr>
      <w:r>
        <w:rPr>
          <w:rFonts w:hint="eastAsia" w:ascii="宋体" w:hAnsi="宋体" w:cs="宋体"/>
          <w:bCs/>
          <w:szCs w:val="21"/>
        </w:rPr>
        <w:t>2.终止</w:t>
      </w:r>
    </w:p>
    <w:p w14:paraId="0E8F6D0D">
      <w:pPr>
        <w:spacing w:line="360" w:lineRule="auto"/>
        <w:ind w:firstLine="420" w:firstLineChars="200"/>
        <w:rPr>
          <w:rFonts w:hint="eastAsia" w:ascii="宋体" w:hAnsi="宋体" w:cs="宋体"/>
          <w:bCs/>
          <w:szCs w:val="21"/>
        </w:rPr>
      </w:pPr>
      <w:r>
        <w:rPr>
          <w:rFonts w:hint="eastAsia" w:ascii="宋体" w:hAnsi="宋体" w:cs="宋体"/>
          <w:bCs/>
          <w:szCs w:val="21"/>
        </w:rPr>
        <w:t>2.1提前终止</w:t>
      </w:r>
    </w:p>
    <w:p w14:paraId="2F574A97">
      <w:pPr>
        <w:spacing w:line="360" w:lineRule="auto"/>
        <w:ind w:firstLine="420" w:firstLineChars="200"/>
        <w:rPr>
          <w:rFonts w:hint="eastAsia" w:ascii="宋体" w:hAnsi="宋体" w:cs="宋体"/>
          <w:szCs w:val="21"/>
        </w:rPr>
      </w:pPr>
      <w:r>
        <w:rPr>
          <w:rFonts w:hint="eastAsia" w:ascii="宋体" w:hAnsi="宋体" w:cs="宋体"/>
          <w:szCs w:val="21"/>
        </w:rPr>
        <w:t>2.1.1因乙方在服务期内超过三次物业服务综合考评未达标，甲方可以单方面终止合同，且乙方须支付给甲方月度承包服务款二倍金额的赔偿金。</w:t>
      </w:r>
    </w:p>
    <w:p w14:paraId="42D5458B">
      <w:pPr>
        <w:spacing w:line="360" w:lineRule="auto"/>
        <w:ind w:firstLine="420" w:firstLineChars="200"/>
        <w:rPr>
          <w:rFonts w:hint="eastAsia" w:ascii="宋体" w:hAnsi="宋体" w:cs="宋体"/>
          <w:szCs w:val="21"/>
        </w:rPr>
      </w:pPr>
      <w:r>
        <w:rPr>
          <w:rFonts w:hint="eastAsia" w:ascii="宋体" w:hAnsi="宋体" w:cs="宋体"/>
          <w:szCs w:val="21"/>
        </w:rPr>
        <w:t>2.1.2如甲方发现乙方出现转包、分包等情况，甲方可以单方面终止合同，且乙方须支付给甲方月度承包服务款二倍金额的赔偿金。</w:t>
      </w:r>
    </w:p>
    <w:p w14:paraId="0AD9B24D">
      <w:pPr>
        <w:spacing w:line="360" w:lineRule="auto"/>
        <w:ind w:firstLine="420" w:firstLineChars="200"/>
        <w:rPr>
          <w:rFonts w:hint="eastAsia" w:ascii="宋体" w:hAnsi="宋体" w:cs="宋体"/>
          <w:szCs w:val="21"/>
        </w:rPr>
      </w:pPr>
      <w:r>
        <w:rPr>
          <w:rFonts w:hint="eastAsia" w:ascii="宋体" w:hAnsi="宋体" w:cs="宋体"/>
          <w:szCs w:val="21"/>
        </w:rPr>
        <w:t>2.1.3如果乙方在服务期内无理由终止合同，乙方须提前三个月向甲方发出书面通知终止合同，乙方须支付给甲方月度承包服务款二倍金额的赔偿金；如果乙方在服务期内突然无理由终止合同，未提前三个月向甲方发出书面通知终止承包，乙方须支付给甲方月度承包服务款三倍金额的赔偿金。</w:t>
      </w:r>
    </w:p>
    <w:p w14:paraId="5C99EE6A">
      <w:pPr>
        <w:spacing w:line="360" w:lineRule="auto"/>
        <w:ind w:firstLine="420" w:firstLineChars="200"/>
        <w:rPr>
          <w:rFonts w:hint="eastAsia" w:ascii="宋体" w:hAnsi="宋体" w:cs="宋体"/>
          <w:szCs w:val="21"/>
        </w:rPr>
      </w:pPr>
      <w:r>
        <w:rPr>
          <w:rFonts w:hint="eastAsia" w:ascii="宋体" w:hAnsi="宋体" w:cs="宋体"/>
          <w:szCs w:val="21"/>
        </w:rPr>
        <w:t>2.1.4如果乙方在服务期内由于乙方原因造成重大责任事故或安全事故，甲方可以单方面终止合同，且乙方须赔偿甲方造成的经济损失，并须支付给甲方月度承包服务款五倍金额的赔偿金。</w:t>
      </w:r>
    </w:p>
    <w:p w14:paraId="185C4C6D">
      <w:pPr>
        <w:spacing w:line="360" w:lineRule="auto"/>
        <w:ind w:firstLine="420" w:firstLineChars="200"/>
        <w:rPr>
          <w:rFonts w:hint="eastAsia" w:ascii="宋体" w:hAnsi="宋体" w:cs="宋体"/>
          <w:szCs w:val="21"/>
        </w:rPr>
      </w:pPr>
      <w:r>
        <w:rPr>
          <w:rFonts w:hint="eastAsia" w:ascii="宋体" w:hAnsi="宋体" w:cs="宋体"/>
          <w:szCs w:val="21"/>
        </w:rPr>
        <w:t>2.1.5乙方未能履行合同和遵守有关规定，在甲方发出书面警告后一周内乙方仍无采取补救措施，甲方可立即终止合同。</w:t>
      </w:r>
    </w:p>
    <w:p w14:paraId="27ECA500">
      <w:pPr>
        <w:spacing w:line="360" w:lineRule="auto"/>
        <w:ind w:firstLine="420" w:firstLineChars="200"/>
        <w:rPr>
          <w:rFonts w:hint="eastAsia" w:ascii="宋体" w:hAnsi="宋体" w:cs="宋体"/>
          <w:szCs w:val="21"/>
        </w:rPr>
      </w:pPr>
      <w:r>
        <w:rPr>
          <w:rFonts w:hint="eastAsia" w:ascii="宋体" w:hAnsi="宋体" w:cs="宋体"/>
          <w:szCs w:val="21"/>
        </w:rPr>
        <w:t>2.1.6乙方破产清处、重组及兼并等事实发生，或被债权人接管经营，甲方不必通知乙方即可终止合同。</w:t>
      </w:r>
    </w:p>
    <w:p w14:paraId="3C82BBB4">
      <w:pPr>
        <w:spacing w:line="360" w:lineRule="auto"/>
        <w:ind w:firstLine="420" w:firstLineChars="200"/>
        <w:rPr>
          <w:rFonts w:hint="eastAsia" w:ascii="宋体" w:hAnsi="宋体" w:cs="宋体"/>
          <w:bCs/>
          <w:szCs w:val="21"/>
        </w:rPr>
      </w:pPr>
      <w:r>
        <w:rPr>
          <w:rFonts w:hint="eastAsia" w:ascii="宋体" w:hAnsi="宋体" w:cs="宋体"/>
          <w:bCs/>
          <w:szCs w:val="21"/>
        </w:rPr>
        <w:t>2.2 协议终止</w:t>
      </w:r>
    </w:p>
    <w:p w14:paraId="7E67C5E6">
      <w:pPr>
        <w:spacing w:line="360" w:lineRule="auto"/>
        <w:ind w:firstLine="420" w:firstLineChars="200"/>
        <w:rPr>
          <w:rFonts w:hint="eastAsia" w:ascii="宋体" w:hAnsi="宋体" w:cs="宋体"/>
          <w:bCs/>
          <w:szCs w:val="21"/>
        </w:rPr>
      </w:pPr>
      <w:r>
        <w:rPr>
          <w:rFonts w:hint="eastAsia" w:ascii="宋体" w:hAnsi="宋体" w:cs="宋体"/>
          <w:bCs/>
          <w:szCs w:val="21"/>
        </w:rPr>
        <w:t>经双方协商同意，可在任何时候终止</w:t>
      </w:r>
      <w:r>
        <w:rPr>
          <w:rFonts w:hint="eastAsia" w:ascii="宋体" w:hAnsi="宋体" w:cs="宋体"/>
          <w:szCs w:val="21"/>
        </w:rPr>
        <w:t>合同</w:t>
      </w:r>
      <w:r>
        <w:rPr>
          <w:rFonts w:hint="eastAsia" w:ascii="宋体" w:hAnsi="宋体" w:cs="宋体"/>
          <w:bCs/>
          <w:szCs w:val="21"/>
        </w:rPr>
        <w:t>。</w:t>
      </w:r>
    </w:p>
    <w:p w14:paraId="6E1FFCC4">
      <w:pPr>
        <w:spacing w:line="360" w:lineRule="auto"/>
        <w:ind w:firstLine="420" w:firstLineChars="200"/>
        <w:rPr>
          <w:rFonts w:hint="eastAsia" w:ascii="宋体" w:hAnsi="宋体" w:cs="宋体"/>
          <w:bCs/>
          <w:szCs w:val="21"/>
        </w:rPr>
      </w:pPr>
      <w:r>
        <w:rPr>
          <w:rFonts w:hint="eastAsia" w:ascii="宋体" w:hAnsi="宋体" w:cs="宋体"/>
          <w:bCs/>
          <w:szCs w:val="21"/>
        </w:rPr>
        <w:t>2.3 自然终止</w:t>
      </w:r>
    </w:p>
    <w:p w14:paraId="5C30E0EA">
      <w:pPr>
        <w:spacing w:line="360" w:lineRule="auto"/>
        <w:ind w:firstLine="420" w:firstLineChars="200"/>
        <w:rPr>
          <w:rFonts w:hint="eastAsia" w:ascii="宋体" w:hAnsi="宋体" w:cs="宋体"/>
          <w:bCs/>
          <w:szCs w:val="21"/>
        </w:rPr>
      </w:pPr>
      <w:r>
        <w:rPr>
          <w:rFonts w:hint="eastAsia" w:ascii="宋体" w:hAnsi="宋体" w:cs="宋体"/>
          <w:bCs/>
          <w:szCs w:val="21"/>
        </w:rPr>
        <w:t>合同规定的承包服务期满，</w:t>
      </w:r>
      <w:r>
        <w:rPr>
          <w:rFonts w:hint="eastAsia" w:ascii="宋体" w:hAnsi="宋体" w:cs="宋体"/>
          <w:szCs w:val="21"/>
        </w:rPr>
        <w:t>合同</w:t>
      </w:r>
      <w:r>
        <w:rPr>
          <w:rFonts w:hint="eastAsia" w:ascii="宋体" w:hAnsi="宋体" w:cs="宋体"/>
          <w:bCs/>
          <w:szCs w:val="21"/>
        </w:rPr>
        <w:t>自然终止。</w:t>
      </w:r>
    </w:p>
    <w:p w14:paraId="5A3158A2">
      <w:pPr>
        <w:spacing w:line="360" w:lineRule="auto"/>
        <w:ind w:firstLine="420" w:firstLineChars="200"/>
        <w:rPr>
          <w:rFonts w:hint="eastAsia" w:ascii="宋体" w:hAnsi="宋体" w:cs="宋体"/>
          <w:bCs/>
          <w:szCs w:val="21"/>
        </w:rPr>
      </w:pPr>
      <w:r>
        <w:rPr>
          <w:rFonts w:hint="eastAsia" w:ascii="宋体" w:hAnsi="宋体" w:cs="宋体"/>
          <w:bCs/>
          <w:szCs w:val="21"/>
        </w:rPr>
        <w:t>3.承包终止合同</w:t>
      </w:r>
    </w:p>
    <w:p w14:paraId="322220B6">
      <w:pPr>
        <w:spacing w:line="360" w:lineRule="auto"/>
        <w:ind w:firstLine="420" w:firstLineChars="200"/>
        <w:rPr>
          <w:rFonts w:hint="eastAsia" w:ascii="宋体" w:hAnsi="宋体" w:cs="宋体"/>
          <w:szCs w:val="21"/>
        </w:rPr>
      </w:pPr>
      <w:r>
        <w:rPr>
          <w:rFonts w:hint="eastAsia" w:ascii="宋体" w:hAnsi="宋体" w:cs="宋体"/>
          <w:szCs w:val="21"/>
        </w:rPr>
        <w:t>3.1终止合同，不影响根据合同规定进行的赔偿、补偿，也不影响履约保证金的效力。</w:t>
      </w:r>
    </w:p>
    <w:p w14:paraId="624DA222">
      <w:pPr>
        <w:spacing w:line="360" w:lineRule="auto"/>
        <w:ind w:firstLine="420" w:firstLineChars="200"/>
        <w:rPr>
          <w:rFonts w:hint="eastAsia" w:ascii="宋体" w:hAnsi="宋体" w:cs="宋体"/>
          <w:szCs w:val="21"/>
        </w:rPr>
      </w:pPr>
      <w:r>
        <w:rPr>
          <w:rFonts w:hint="eastAsia" w:ascii="宋体" w:hAnsi="宋体" w:cs="宋体"/>
          <w:szCs w:val="21"/>
        </w:rPr>
        <w:t>3.2上述2.1约定的终止情形，乙方的履约保证金作为违约金支付给甲方，不足部分由乙方另行支付。</w:t>
      </w:r>
    </w:p>
    <w:p w14:paraId="5751DF25">
      <w:pPr>
        <w:spacing w:line="360" w:lineRule="auto"/>
        <w:ind w:firstLine="420" w:firstLineChars="200"/>
        <w:rPr>
          <w:rFonts w:hint="eastAsia" w:ascii="宋体" w:hAnsi="宋体" w:cs="宋体"/>
          <w:szCs w:val="21"/>
        </w:rPr>
      </w:pPr>
      <w:r>
        <w:rPr>
          <w:rFonts w:hint="eastAsia" w:ascii="宋体" w:hAnsi="宋体" w:cs="宋体"/>
          <w:szCs w:val="21"/>
        </w:rPr>
        <w:t>3.3合同终止时，双方应进行结算，甲方同时进行乙方承包区域设施、设备状况检查并要求乙方三天内将乙方物品撤离承包区域，否则甲方将代为处理，乙方支付甲方代理费及10%的手续费。</w:t>
      </w:r>
    </w:p>
    <w:p w14:paraId="7AEA84C0">
      <w:pPr>
        <w:spacing w:line="360" w:lineRule="auto"/>
        <w:ind w:firstLine="420" w:firstLineChars="200"/>
        <w:rPr>
          <w:rFonts w:hint="eastAsia" w:ascii="宋体" w:hAnsi="宋体" w:cs="宋体"/>
          <w:bCs/>
          <w:szCs w:val="21"/>
        </w:rPr>
      </w:pPr>
      <w:r>
        <w:rPr>
          <w:rFonts w:hint="eastAsia" w:ascii="宋体" w:hAnsi="宋体" w:cs="宋体"/>
          <w:bCs/>
          <w:szCs w:val="21"/>
        </w:rPr>
        <w:t>4.不放弃权利</w:t>
      </w:r>
    </w:p>
    <w:p w14:paraId="11F3B2B0">
      <w:pPr>
        <w:spacing w:line="360" w:lineRule="auto"/>
        <w:ind w:firstLine="420" w:firstLineChars="200"/>
        <w:rPr>
          <w:rFonts w:hint="eastAsia" w:ascii="宋体" w:hAnsi="宋体" w:cs="宋体"/>
          <w:szCs w:val="21"/>
        </w:rPr>
      </w:pPr>
      <w:r>
        <w:rPr>
          <w:rFonts w:hint="eastAsia" w:ascii="宋体" w:hAnsi="宋体" w:cs="宋体"/>
          <w:szCs w:val="21"/>
        </w:rPr>
        <w:t>甲方接受乙方的服务，但不放弃对乙方违约行为进行追究的权利；同时，若甲方对乙方某一违约行为放弃进行追究的权利，但不放弃对乙方其他违约行为进行追究的权利。</w:t>
      </w:r>
    </w:p>
    <w:p w14:paraId="4D1AC402">
      <w:pPr>
        <w:pStyle w:val="156"/>
        <w:spacing w:line="360" w:lineRule="auto"/>
        <w:ind w:left="420" w:leftChars="200" w:firstLine="0" w:firstLineChars="0"/>
        <w:rPr>
          <w:rFonts w:hint="eastAsia" w:ascii="宋体" w:hAnsi="宋体" w:cs="宋体"/>
          <w:b/>
          <w:szCs w:val="21"/>
        </w:rPr>
      </w:pPr>
      <w:r>
        <w:rPr>
          <w:rFonts w:hint="eastAsia" w:ascii="宋体" w:hAnsi="宋体" w:cs="宋体"/>
          <w:b/>
          <w:szCs w:val="21"/>
        </w:rPr>
        <w:t>第十条 不可抗力</w:t>
      </w:r>
    </w:p>
    <w:p w14:paraId="16DE51CD">
      <w:pPr>
        <w:spacing w:line="360" w:lineRule="auto"/>
        <w:ind w:firstLine="420" w:firstLineChars="200"/>
        <w:rPr>
          <w:rFonts w:hint="eastAsia" w:ascii="宋体" w:hAnsi="宋体" w:cs="宋体"/>
          <w:bCs/>
          <w:szCs w:val="21"/>
        </w:rPr>
      </w:pPr>
      <w:r>
        <w:rPr>
          <w:rFonts w:hint="eastAsia" w:ascii="宋体" w:hAnsi="宋体" w:cs="宋体"/>
          <w:bCs/>
          <w:szCs w:val="21"/>
        </w:rPr>
        <w:t>因国家城市规划或社会公共利益需要等政策原因需要拆除、改造或被征用本合同项目地的，甲方提前一个月告知乙方，合同提前终止，给双方造成损失的，互不承担责任。</w:t>
      </w:r>
    </w:p>
    <w:p w14:paraId="69F4ED7A">
      <w:pPr>
        <w:pStyle w:val="156"/>
        <w:spacing w:line="360" w:lineRule="auto"/>
        <w:ind w:left="420" w:leftChars="200" w:firstLine="0" w:firstLineChars="0"/>
        <w:rPr>
          <w:rFonts w:hint="eastAsia" w:ascii="宋体" w:hAnsi="宋体" w:cs="宋体"/>
          <w:b/>
          <w:szCs w:val="21"/>
        </w:rPr>
      </w:pPr>
      <w:r>
        <w:rPr>
          <w:rFonts w:hint="eastAsia" w:ascii="宋体" w:hAnsi="宋体" w:cs="宋体"/>
          <w:b/>
          <w:szCs w:val="21"/>
        </w:rPr>
        <w:t>第十一条 双方权利义务</w:t>
      </w:r>
    </w:p>
    <w:p w14:paraId="74475083">
      <w:pPr>
        <w:pStyle w:val="156"/>
        <w:numPr>
          <w:ilvl w:val="0"/>
          <w:numId w:val="6"/>
        </w:numPr>
        <w:spacing w:line="360" w:lineRule="auto"/>
        <w:ind w:left="0" w:firstLine="420"/>
        <w:rPr>
          <w:rFonts w:hint="eastAsia" w:ascii="宋体" w:hAnsi="宋体" w:cs="宋体"/>
          <w:bCs/>
          <w:szCs w:val="21"/>
        </w:rPr>
      </w:pPr>
      <w:r>
        <w:rPr>
          <w:rFonts w:hint="eastAsia" w:ascii="宋体" w:hAnsi="宋体" w:cs="宋体"/>
          <w:bCs/>
          <w:szCs w:val="21"/>
        </w:rPr>
        <w:t>甲方权利义务</w:t>
      </w:r>
    </w:p>
    <w:p w14:paraId="6EE8A0B5">
      <w:pPr>
        <w:spacing w:line="360" w:lineRule="auto"/>
        <w:ind w:firstLine="420" w:firstLineChars="200"/>
        <w:rPr>
          <w:rFonts w:hint="eastAsia" w:ascii="宋体" w:hAnsi="宋体" w:cs="宋体"/>
          <w:szCs w:val="21"/>
        </w:rPr>
      </w:pPr>
      <w:r>
        <w:rPr>
          <w:rFonts w:hint="eastAsia" w:ascii="宋体" w:hAnsi="宋体" w:cs="宋体"/>
          <w:szCs w:val="21"/>
        </w:rPr>
        <w:t>1.1代表和维护产权人、使用人的合法权益；</w:t>
      </w:r>
    </w:p>
    <w:p w14:paraId="6D6A27FA">
      <w:pPr>
        <w:spacing w:line="360" w:lineRule="auto"/>
        <w:ind w:firstLine="420" w:firstLineChars="200"/>
        <w:rPr>
          <w:rFonts w:hint="eastAsia" w:ascii="宋体" w:hAnsi="宋体" w:cs="宋体"/>
          <w:szCs w:val="21"/>
        </w:rPr>
      </w:pPr>
      <w:r>
        <w:rPr>
          <w:rFonts w:hint="eastAsia" w:ascii="宋体" w:hAnsi="宋体" w:cs="宋体"/>
          <w:szCs w:val="21"/>
        </w:rPr>
        <w:t>1.2检查监督乙方管理工作的实施及制度的执行情况；</w:t>
      </w:r>
    </w:p>
    <w:p w14:paraId="1C8C9523">
      <w:pPr>
        <w:spacing w:line="360" w:lineRule="auto"/>
        <w:ind w:firstLine="420" w:firstLineChars="200"/>
        <w:rPr>
          <w:rFonts w:hint="eastAsia" w:ascii="宋体" w:hAnsi="宋体" w:cs="宋体"/>
          <w:szCs w:val="21"/>
        </w:rPr>
      </w:pPr>
      <w:r>
        <w:rPr>
          <w:rFonts w:hint="eastAsia" w:ascii="宋体" w:hAnsi="宋体" w:cs="宋体"/>
          <w:szCs w:val="21"/>
        </w:rPr>
        <w:t>1.3负责收集、整理物业管理所需图纸、档案、资料，根据管理需要向乙方提供房屋相关资料和设备、设施的安装、使用资料；</w:t>
      </w:r>
    </w:p>
    <w:p w14:paraId="5842282B">
      <w:pPr>
        <w:spacing w:line="360" w:lineRule="auto"/>
        <w:ind w:firstLine="420" w:firstLineChars="200"/>
        <w:rPr>
          <w:rFonts w:hint="eastAsia" w:ascii="宋体" w:hAnsi="宋体" w:cs="宋体"/>
          <w:szCs w:val="21"/>
        </w:rPr>
      </w:pPr>
      <w:r>
        <w:rPr>
          <w:rFonts w:hint="eastAsia" w:ascii="宋体" w:hAnsi="宋体" w:cs="宋体"/>
          <w:szCs w:val="21"/>
        </w:rPr>
        <w:t>1.4按期支付物业管理费用；</w:t>
      </w:r>
    </w:p>
    <w:p w14:paraId="7D0BEC42">
      <w:pPr>
        <w:spacing w:line="360" w:lineRule="auto"/>
        <w:ind w:firstLine="420" w:firstLineChars="200"/>
        <w:rPr>
          <w:rFonts w:hint="eastAsia" w:ascii="宋体" w:hAnsi="宋体" w:cs="宋体"/>
          <w:szCs w:val="21"/>
        </w:rPr>
      </w:pPr>
      <w:r>
        <w:rPr>
          <w:rFonts w:hint="eastAsia" w:ascii="宋体" w:hAnsi="宋体" w:cs="宋体"/>
          <w:szCs w:val="21"/>
        </w:rPr>
        <w:t>1.5在不可预见的情况下，如发生煤气泄漏、漏电、火灾、救助人命、协助公安机关执行任务等突发事件的，甲方应积极配合乙方采取必要的紧急避险措施。</w:t>
      </w:r>
    </w:p>
    <w:p w14:paraId="4D739CBB">
      <w:pPr>
        <w:spacing w:line="360" w:lineRule="auto"/>
        <w:ind w:firstLine="420" w:firstLineChars="200"/>
        <w:rPr>
          <w:rFonts w:hint="eastAsia" w:ascii="宋体" w:hAnsi="宋体" w:cs="宋体"/>
          <w:szCs w:val="21"/>
        </w:rPr>
      </w:pPr>
      <w:r>
        <w:rPr>
          <w:rFonts w:hint="eastAsia" w:ascii="宋体" w:hAnsi="宋体" w:cs="宋体"/>
          <w:szCs w:val="21"/>
        </w:rPr>
        <w:t>1.6提供乙方服务人员更衣和放物料的房间。</w:t>
      </w:r>
    </w:p>
    <w:p w14:paraId="67509C68">
      <w:pPr>
        <w:spacing w:line="360" w:lineRule="auto"/>
        <w:ind w:firstLine="420" w:firstLineChars="200"/>
        <w:rPr>
          <w:rFonts w:hint="eastAsia" w:ascii="宋体" w:hAnsi="宋体" w:cs="宋体"/>
          <w:szCs w:val="21"/>
        </w:rPr>
      </w:pPr>
      <w:r>
        <w:rPr>
          <w:rFonts w:hint="eastAsia" w:ascii="宋体" w:hAnsi="宋体" w:cs="宋体"/>
          <w:szCs w:val="21"/>
        </w:rPr>
        <w:t>1.7甲方监督乙方依照本合同规定内容所进行的管理和服务活动，每月组织对乙方工作进行综合考评，考评内容详见附表。如出现乙方管理不善造成甲方重大经济损失的情况，甲方有权终止合同并要求乙方给予补偿。</w:t>
      </w:r>
    </w:p>
    <w:p w14:paraId="1A8D1FE5">
      <w:pPr>
        <w:spacing w:line="360" w:lineRule="auto"/>
        <w:ind w:firstLine="420" w:firstLineChars="200"/>
        <w:rPr>
          <w:rFonts w:hint="eastAsia" w:ascii="宋体" w:hAnsi="宋体" w:cs="宋体"/>
          <w:bCs/>
          <w:szCs w:val="21"/>
        </w:rPr>
      </w:pPr>
      <w:r>
        <w:rPr>
          <w:rFonts w:hint="eastAsia" w:ascii="宋体" w:hAnsi="宋体" w:cs="宋体"/>
          <w:bCs/>
          <w:szCs w:val="21"/>
        </w:rPr>
        <w:t>2.乙方权利义务</w:t>
      </w:r>
    </w:p>
    <w:p w14:paraId="330D4D10">
      <w:pPr>
        <w:spacing w:line="360" w:lineRule="auto"/>
        <w:ind w:firstLine="420" w:firstLineChars="200"/>
        <w:rPr>
          <w:rFonts w:hint="eastAsia" w:ascii="宋体" w:hAnsi="宋体" w:cs="宋体"/>
          <w:szCs w:val="21"/>
        </w:rPr>
      </w:pPr>
      <w:r>
        <w:rPr>
          <w:rFonts w:hint="eastAsia" w:ascii="宋体" w:hAnsi="宋体" w:cs="宋体"/>
          <w:szCs w:val="21"/>
        </w:rPr>
        <w:t>2.1根据有关法律法规、响应文件及本合同的规定，自主开展日常管理服务活动；</w:t>
      </w:r>
    </w:p>
    <w:p w14:paraId="2052337C">
      <w:pPr>
        <w:spacing w:line="360" w:lineRule="auto"/>
        <w:ind w:firstLine="420" w:firstLineChars="200"/>
        <w:rPr>
          <w:rFonts w:hint="eastAsia" w:ascii="宋体" w:hAnsi="宋体" w:cs="宋体"/>
          <w:szCs w:val="21"/>
        </w:rPr>
      </w:pPr>
      <w:r>
        <w:rPr>
          <w:rFonts w:hint="eastAsia" w:ascii="宋体" w:hAnsi="宋体" w:cs="宋体"/>
          <w:szCs w:val="21"/>
        </w:rPr>
        <w:t>2.2按甲方要求及时如实向甲方反映物业管理服务实施情况；</w:t>
      </w:r>
    </w:p>
    <w:p w14:paraId="0C8DD944">
      <w:pPr>
        <w:spacing w:line="360" w:lineRule="auto"/>
        <w:ind w:firstLine="420" w:firstLineChars="200"/>
        <w:rPr>
          <w:rFonts w:hint="eastAsia" w:ascii="宋体" w:hAnsi="宋体" w:cs="宋体"/>
          <w:szCs w:val="21"/>
        </w:rPr>
      </w:pPr>
      <w:r>
        <w:rPr>
          <w:rFonts w:hint="eastAsia" w:ascii="宋体" w:hAnsi="宋体" w:cs="宋体"/>
          <w:szCs w:val="21"/>
        </w:rPr>
        <w:t>2.3征得甲方同意可选聘专营公司承担物业服务的专项管理业务，但不得将物业服务的管理责任转让给第三方；</w:t>
      </w:r>
    </w:p>
    <w:p w14:paraId="38D4C88A">
      <w:pPr>
        <w:spacing w:line="360" w:lineRule="auto"/>
        <w:ind w:firstLine="420" w:firstLineChars="200"/>
        <w:rPr>
          <w:rFonts w:hint="eastAsia" w:ascii="宋体" w:hAnsi="宋体" w:cs="宋体"/>
          <w:szCs w:val="21"/>
        </w:rPr>
      </w:pPr>
      <w:r>
        <w:rPr>
          <w:rFonts w:hint="eastAsia" w:ascii="宋体" w:hAnsi="宋体" w:cs="宋体"/>
          <w:szCs w:val="21"/>
        </w:rPr>
        <w:t>2.4建立、妥善保管和正确使用物业相关的管理台账，并负责及时记载有关变更情况；</w:t>
      </w:r>
    </w:p>
    <w:p w14:paraId="561E30DF">
      <w:pPr>
        <w:spacing w:line="360" w:lineRule="auto"/>
        <w:ind w:firstLine="420" w:firstLineChars="200"/>
        <w:rPr>
          <w:rFonts w:hint="eastAsia" w:ascii="宋体" w:hAnsi="宋体" w:cs="宋体"/>
          <w:szCs w:val="21"/>
        </w:rPr>
      </w:pPr>
      <w:r>
        <w:rPr>
          <w:rFonts w:hint="eastAsia" w:ascii="宋体" w:hAnsi="宋体" w:cs="宋体"/>
          <w:szCs w:val="21"/>
        </w:rPr>
        <w:t>2.5对本物业的公用设施不得擅自占用和改变使用功能；</w:t>
      </w:r>
    </w:p>
    <w:p w14:paraId="5F45B393">
      <w:pPr>
        <w:spacing w:line="360" w:lineRule="auto"/>
        <w:ind w:firstLine="420" w:firstLineChars="200"/>
        <w:rPr>
          <w:rFonts w:hint="eastAsia" w:ascii="宋体" w:hAnsi="宋体" w:cs="宋体"/>
          <w:szCs w:val="21"/>
        </w:rPr>
      </w:pPr>
      <w:r>
        <w:rPr>
          <w:rFonts w:hint="eastAsia" w:ascii="宋体" w:hAnsi="宋体" w:cs="宋体"/>
          <w:szCs w:val="21"/>
        </w:rPr>
        <w:t>2.6因乙方在管理中的过错或违反本合同的约定进行管理造成甲方或第三人损失的，乙方应依法承担赔偿责任；</w:t>
      </w:r>
    </w:p>
    <w:p w14:paraId="10070312">
      <w:pPr>
        <w:spacing w:line="360" w:lineRule="auto"/>
        <w:ind w:firstLine="420" w:firstLineChars="200"/>
        <w:rPr>
          <w:rFonts w:hint="eastAsia" w:ascii="宋体" w:hAnsi="宋体" w:cs="宋体"/>
          <w:szCs w:val="21"/>
        </w:rPr>
      </w:pPr>
      <w:r>
        <w:rPr>
          <w:rFonts w:hint="eastAsia" w:ascii="宋体" w:hAnsi="宋体" w:cs="宋体"/>
          <w:szCs w:val="21"/>
        </w:rPr>
        <w:t>2.7乙方自行承担办公桌、电脑、打印机、文件柜等自身使用的办公用品，自行承担所有人员服装费用，但服装样式需经过甲方认可，办公、通讯费用由乙方自行承担。</w:t>
      </w:r>
    </w:p>
    <w:p w14:paraId="780D75E5">
      <w:pPr>
        <w:spacing w:line="360" w:lineRule="auto"/>
        <w:ind w:firstLine="420" w:firstLineChars="200"/>
        <w:rPr>
          <w:rFonts w:hint="eastAsia" w:ascii="宋体" w:hAnsi="宋体" w:cs="宋体"/>
          <w:szCs w:val="21"/>
        </w:rPr>
      </w:pPr>
      <w:r>
        <w:rPr>
          <w:rFonts w:hint="eastAsia" w:ascii="宋体" w:hAnsi="宋体" w:cs="宋体"/>
          <w:szCs w:val="21"/>
        </w:rPr>
        <w:t>2.8本合同终止时，乙方必须向甲方移交更衣和放物料房间及物业管理的工作台账资料，确保移交的资料齐全。</w:t>
      </w:r>
    </w:p>
    <w:p w14:paraId="3770C069">
      <w:pPr>
        <w:pStyle w:val="156"/>
        <w:spacing w:line="360" w:lineRule="auto"/>
        <w:ind w:firstLine="422"/>
        <w:rPr>
          <w:rFonts w:hint="eastAsia" w:ascii="宋体" w:hAnsi="宋体" w:cs="宋体"/>
          <w:b/>
          <w:szCs w:val="21"/>
        </w:rPr>
      </w:pPr>
      <w:r>
        <w:rPr>
          <w:rFonts w:hint="eastAsia" w:ascii="宋体" w:hAnsi="宋体" w:cs="宋体"/>
          <w:b/>
          <w:szCs w:val="21"/>
        </w:rPr>
        <w:t>第十二条 乙方的人员配置</w:t>
      </w:r>
    </w:p>
    <w:p w14:paraId="7B925D79">
      <w:pPr>
        <w:spacing w:line="360" w:lineRule="auto"/>
        <w:ind w:firstLine="420" w:firstLineChars="200"/>
        <w:rPr>
          <w:rFonts w:hint="eastAsia" w:ascii="宋体" w:hAnsi="宋体" w:cs="宋体"/>
          <w:bCs/>
          <w:szCs w:val="21"/>
        </w:rPr>
      </w:pPr>
      <w:r>
        <w:rPr>
          <w:rFonts w:hint="eastAsia" w:ascii="宋体" w:hAnsi="宋体" w:cs="宋体"/>
          <w:bCs/>
          <w:szCs w:val="21"/>
        </w:rPr>
        <w:t>1.乙方的人员配置</w:t>
      </w:r>
    </w:p>
    <w:p w14:paraId="3918E949">
      <w:pPr>
        <w:spacing w:line="360" w:lineRule="auto"/>
        <w:ind w:firstLine="420" w:firstLineChars="200"/>
        <w:rPr>
          <w:rFonts w:hint="eastAsia" w:ascii="宋体" w:hAnsi="宋体" w:cs="宋体"/>
          <w:bCs/>
          <w:szCs w:val="21"/>
          <w:u w:val="single"/>
        </w:rPr>
      </w:pPr>
      <w:r>
        <w:rPr>
          <w:rFonts w:hint="eastAsia" w:ascii="宋体" w:hAnsi="宋体" w:cs="宋体"/>
          <w:bCs/>
          <w:szCs w:val="21"/>
        </w:rPr>
        <w:t>1.1乙方的联系人，姓名：</w:t>
      </w:r>
      <w:r>
        <w:rPr>
          <w:rFonts w:hint="eastAsia" w:ascii="宋体" w:hAnsi="宋体" w:cs="宋体"/>
          <w:bCs/>
          <w:szCs w:val="21"/>
          <w:u w:val="single"/>
        </w:rPr>
        <w:t xml:space="preserve">         </w:t>
      </w:r>
      <w:r>
        <w:rPr>
          <w:rFonts w:hint="eastAsia" w:ascii="宋体" w:hAnsi="宋体" w:cs="宋体"/>
          <w:bCs/>
          <w:szCs w:val="21"/>
        </w:rPr>
        <w:t>联系电话：</w:t>
      </w:r>
      <w:r>
        <w:rPr>
          <w:rFonts w:hint="eastAsia" w:ascii="宋体" w:hAnsi="宋体" w:cs="宋体"/>
          <w:bCs/>
          <w:szCs w:val="21"/>
          <w:u w:val="single"/>
        </w:rPr>
        <w:t xml:space="preserve">         </w:t>
      </w:r>
    </w:p>
    <w:p w14:paraId="0BBA78F4">
      <w:pPr>
        <w:spacing w:line="360" w:lineRule="auto"/>
        <w:ind w:firstLine="420" w:firstLineChars="200"/>
        <w:rPr>
          <w:rFonts w:hint="eastAsia" w:ascii="宋体" w:hAnsi="宋体" w:cs="宋体"/>
          <w:bCs/>
          <w:szCs w:val="21"/>
        </w:rPr>
      </w:pPr>
      <w:r>
        <w:rPr>
          <w:rFonts w:hint="eastAsia" w:ascii="宋体" w:hAnsi="宋体" w:cs="宋体"/>
          <w:bCs/>
          <w:szCs w:val="21"/>
        </w:rPr>
        <w:t>1.2乙方必须采取措施，确保乙方人员稳定，人员变动须甲方备案。</w:t>
      </w:r>
    </w:p>
    <w:p w14:paraId="0BBEDD8B">
      <w:pPr>
        <w:spacing w:line="360" w:lineRule="auto"/>
        <w:ind w:firstLine="420" w:firstLineChars="200"/>
        <w:rPr>
          <w:rFonts w:hint="eastAsia" w:ascii="宋体" w:hAnsi="宋体" w:cs="宋体"/>
          <w:bCs/>
          <w:szCs w:val="21"/>
        </w:rPr>
      </w:pPr>
      <w:r>
        <w:rPr>
          <w:rFonts w:hint="eastAsia" w:ascii="宋体" w:hAnsi="宋体" w:cs="宋体"/>
          <w:bCs/>
          <w:szCs w:val="21"/>
        </w:rPr>
        <w:t>1.3乙方项目联系人须及时与甲方沟通，第一时间报告重大、紧急事件。</w:t>
      </w:r>
    </w:p>
    <w:p w14:paraId="3445DA1D">
      <w:pPr>
        <w:spacing w:line="360" w:lineRule="auto"/>
        <w:ind w:firstLine="420" w:firstLineChars="200"/>
        <w:rPr>
          <w:rFonts w:hint="eastAsia" w:ascii="宋体" w:hAnsi="宋体" w:cs="宋体"/>
          <w:bCs/>
          <w:szCs w:val="21"/>
        </w:rPr>
      </w:pPr>
      <w:r>
        <w:rPr>
          <w:rFonts w:hint="eastAsia" w:ascii="宋体" w:hAnsi="宋体" w:cs="宋体"/>
          <w:bCs/>
          <w:szCs w:val="21"/>
        </w:rPr>
        <w:t>2.物业服务人员要求：</w:t>
      </w:r>
    </w:p>
    <w:p w14:paraId="76CD6259">
      <w:pPr>
        <w:pStyle w:val="47"/>
        <w:spacing w:after="0" w:line="360" w:lineRule="auto"/>
        <w:ind w:firstLineChars="200"/>
        <w:rPr>
          <w:rFonts w:hint="eastAsia" w:ascii="宋体" w:hAnsi="宋体" w:cs="宋体"/>
          <w:szCs w:val="21"/>
        </w:rPr>
      </w:pPr>
      <w:r>
        <w:rPr>
          <w:rFonts w:hint="eastAsia" w:ascii="宋体" w:hAnsi="宋体" w:cs="宋体"/>
          <w:szCs w:val="21"/>
        </w:rPr>
        <w:t>物业服务人员岗位的设置及每个岗位的服务时间必须符合甲方的要求。</w:t>
      </w:r>
    </w:p>
    <w:p w14:paraId="4042EC0A">
      <w:pPr>
        <w:pStyle w:val="156"/>
        <w:spacing w:line="360" w:lineRule="auto"/>
        <w:ind w:left="420" w:leftChars="200" w:firstLine="0" w:firstLineChars="0"/>
        <w:rPr>
          <w:rFonts w:hint="eastAsia" w:ascii="宋体" w:hAnsi="宋体" w:cs="宋体"/>
          <w:b/>
          <w:szCs w:val="21"/>
        </w:rPr>
      </w:pPr>
      <w:r>
        <w:rPr>
          <w:rFonts w:hint="eastAsia" w:ascii="宋体" w:hAnsi="宋体" w:cs="宋体"/>
          <w:b/>
          <w:szCs w:val="21"/>
        </w:rPr>
        <w:t>第十三条 争议处理</w:t>
      </w:r>
    </w:p>
    <w:p w14:paraId="62661146">
      <w:pPr>
        <w:spacing w:line="360" w:lineRule="auto"/>
        <w:ind w:firstLine="420" w:firstLineChars="200"/>
        <w:rPr>
          <w:rFonts w:hint="eastAsia" w:ascii="宋体" w:hAnsi="宋体" w:cs="宋体"/>
          <w:szCs w:val="21"/>
        </w:rPr>
      </w:pPr>
      <w:r>
        <w:rPr>
          <w:rFonts w:hint="eastAsia" w:ascii="宋体" w:hAnsi="宋体" w:cs="宋体"/>
          <w:szCs w:val="21"/>
        </w:rPr>
        <w:t>1.合同在履行过程中发生争议时，甲方与乙方及时协商解决。协商不成时，提请杭州仲裁委员会根据仲裁规则仲裁。</w:t>
      </w:r>
    </w:p>
    <w:p w14:paraId="00B19BE0">
      <w:pPr>
        <w:spacing w:line="360" w:lineRule="auto"/>
        <w:ind w:firstLine="420" w:firstLineChars="200"/>
        <w:rPr>
          <w:rFonts w:hint="eastAsia" w:ascii="宋体" w:hAnsi="宋体" w:cs="宋体"/>
          <w:szCs w:val="21"/>
        </w:rPr>
      </w:pPr>
      <w:r>
        <w:rPr>
          <w:rFonts w:hint="eastAsia" w:ascii="宋体" w:hAnsi="宋体" w:cs="宋体"/>
          <w:szCs w:val="21"/>
        </w:rPr>
        <w:t>2.对于因违反或终止合同而引起的损失、损害的赔偿，有约定的从约定，没约定的由甲方与乙方友好协商解决，经协商仍未能达成一致的，提交杭州仲裁委员会仲裁。</w:t>
      </w:r>
    </w:p>
    <w:p w14:paraId="38B59400">
      <w:pPr>
        <w:pStyle w:val="156"/>
        <w:spacing w:line="360" w:lineRule="auto"/>
        <w:ind w:left="420" w:leftChars="200" w:firstLine="0" w:firstLineChars="0"/>
        <w:rPr>
          <w:rFonts w:hint="eastAsia" w:ascii="宋体" w:hAnsi="宋体" w:cs="宋体"/>
          <w:b/>
          <w:szCs w:val="21"/>
        </w:rPr>
      </w:pPr>
      <w:r>
        <w:rPr>
          <w:rFonts w:hint="eastAsia" w:ascii="宋体" w:hAnsi="宋体" w:cs="宋体"/>
          <w:b/>
          <w:szCs w:val="21"/>
        </w:rPr>
        <w:t>第十四条 其他</w:t>
      </w:r>
    </w:p>
    <w:p w14:paraId="28FBA39D">
      <w:pPr>
        <w:spacing w:line="360" w:lineRule="auto"/>
        <w:ind w:firstLine="420" w:firstLineChars="200"/>
        <w:rPr>
          <w:rFonts w:hint="eastAsia" w:ascii="宋体" w:hAnsi="宋体" w:cs="宋体"/>
          <w:szCs w:val="21"/>
        </w:rPr>
      </w:pPr>
      <w:r>
        <w:rPr>
          <w:rFonts w:hint="eastAsia" w:ascii="宋体" w:hAnsi="宋体" w:cs="宋体"/>
          <w:szCs w:val="21"/>
        </w:rPr>
        <w:t>1.未经过甲方的书面同意，乙方不得转让其履行的合同项下的义务，和将部分合同项下的义务分包给其他单位完成。</w:t>
      </w:r>
    </w:p>
    <w:p w14:paraId="58C07448">
      <w:pPr>
        <w:spacing w:line="360" w:lineRule="auto"/>
        <w:ind w:firstLine="420" w:firstLineChars="200"/>
        <w:rPr>
          <w:rFonts w:hint="eastAsia" w:ascii="宋体" w:hAnsi="宋体" w:cs="宋体"/>
          <w:szCs w:val="21"/>
        </w:rPr>
      </w:pPr>
      <w:r>
        <w:rPr>
          <w:rFonts w:hint="eastAsia" w:ascii="宋体" w:hAnsi="宋体" w:cs="宋体"/>
          <w:szCs w:val="21"/>
        </w:rPr>
        <w:t>2.乙方不得参与可能与合同规定的与甲方的利益相冲突的任何活动。</w:t>
      </w:r>
    </w:p>
    <w:p w14:paraId="6A39DB79">
      <w:pPr>
        <w:spacing w:line="360" w:lineRule="auto"/>
        <w:ind w:firstLine="420" w:firstLineChars="200"/>
        <w:rPr>
          <w:rFonts w:hint="eastAsia" w:ascii="宋体" w:hAnsi="宋体" w:cs="宋体"/>
          <w:szCs w:val="21"/>
        </w:rPr>
      </w:pPr>
      <w:r>
        <w:rPr>
          <w:rFonts w:hint="eastAsia" w:ascii="宋体" w:hAnsi="宋体" w:cs="宋体"/>
          <w:szCs w:val="21"/>
        </w:rPr>
        <w:t>3.乙方人员在甲方场地工作时，应遵守甲方相关规章、制度。</w:t>
      </w:r>
    </w:p>
    <w:p w14:paraId="48A5B1AF">
      <w:pPr>
        <w:spacing w:line="360" w:lineRule="auto"/>
        <w:ind w:firstLine="420" w:firstLineChars="200"/>
        <w:rPr>
          <w:rFonts w:hint="eastAsia" w:ascii="宋体" w:hAnsi="宋体" w:cs="宋体"/>
          <w:szCs w:val="21"/>
        </w:rPr>
      </w:pPr>
      <w:r>
        <w:rPr>
          <w:rFonts w:hint="eastAsia" w:ascii="宋体" w:hAnsi="宋体" w:cs="宋体"/>
          <w:szCs w:val="21"/>
        </w:rPr>
        <w:t>4.本合同任何一方给另一方的通知，都应以书面或电传/传真/电报的形式发送，而另一方应以书面形式确认并发送到对方明确的地址。</w:t>
      </w:r>
    </w:p>
    <w:p w14:paraId="179E62AA">
      <w:pPr>
        <w:spacing w:line="360" w:lineRule="auto"/>
        <w:ind w:firstLine="420" w:firstLineChars="200"/>
        <w:rPr>
          <w:rFonts w:hint="eastAsia" w:ascii="宋体" w:hAnsi="宋体" w:cs="宋体"/>
          <w:szCs w:val="21"/>
        </w:rPr>
      </w:pPr>
      <w:r>
        <w:rPr>
          <w:rFonts w:hint="eastAsia" w:ascii="宋体" w:hAnsi="宋体" w:cs="宋体"/>
          <w:szCs w:val="21"/>
        </w:rPr>
        <w:t>5.合同履行期内甲乙双方均不得随意变更或解除合同。合同若有未尽事宜 ，需经双方共同协商，订立补充协议，补充协议与本合同有同等法律效力。</w:t>
      </w:r>
    </w:p>
    <w:p w14:paraId="323BD04D">
      <w:pPr>
        <w:spacing w:line="360" w:lineRule="auto"/>
        <w:ind w:firstLine="420" w:firstLineChars="200"/>
        <w:rPr>
          <w:rFonts w:hint="eastAsia" w:ascii="宋体" w:hAnsi="宋体" w:cs="宋体"/>
          <w:szCs w:val="21"/>
        </w:rPr>
      </w:pPr>
      <w:r>
        <w:rPr>
          <w:rFonts w:hint="eastAsia" w:ascii="宋体" w:hAnsi="宋体" w:cs="宋体"/>
          <w:szCs w:val="21"/>
        </w:rPr>
        <w:t>6.招标文件（编号：   ）、响应文件及评标过程中形成的文字资料、询标纪要均作为本合同的组成部分，具有同等效力。</w:t>
      </w:r>
    </w:p>
    <w:p w14:paraId="3BB2EAD2">
      <w:pPr>
        <w:spacing w:line="360" w:lineRule="auto"/>
        <w:ind w:firstLine="420" w:firstLineChars="200"/>
        <w:rPr>
          <w:rFonts w:hint="eastAsia" w:ascii="宋体" w:hAnsi="宋体" w:cs="宋体"/>
          <w:szCs w:val="21"/>
        </w:rPr>
      </w:pPr>
      <w:r>
        <w:rPr>
          <w:rFonts w:hint="eastAsia" w:ascii="宋体" w:hAnsi="宋体" w:cs="宋体"/>
          <w:szCs w:val="21"/>
        </w:rPr>
        <w:t>7.本合同一式肆份，甲乙双方各执贰份，经双方盖章后生效。</w:t>
      </w:r>
    </w:p>
    <w:p w14:paraId="59E753C1">
      <w:pPr>
        <w:spacing w:line="360" w:lineRule="auto"/>
        <w:ind w:firstLine="420" w:firstLineChars="200"/>
        <w:rPr>
          <w:rFonts w:hint="eastAsia" w:ascii="宋体" w:hAnsi="宋体" w:cs="宋体"/>
          <w:szCs w:val="21"/>
        </w:rPr>
      </w:pPr>
      <w:r>
        <w:rPr>
          <w:rFonts w:hint="eastAsia" w:ascii="宋体" w:hAnsi="宋体" w:cs="宋体"/>
          <w:szCs w:val="21"/>
        </w:rPr>
        <w:t>8.适用法律：本合同应按照中华人民共和国的法律进行解释。</w:t>
      </w:r>
    </w:p>
    <w:p w14:paraId="1A84E84F">
      <w:pPr>
        <w:pStyle w:val="47"/>
        <w:spacing w:after="0" w:line="360" w:lineRule="auto"/>
        <w:ind w:firstLineChars="200"/>
        <w:rPr>
          <w:rFonts w:hint="eastAsia" w:ascii="宋体" w:hAnsi="宋体" w:cs="宋体"/>
          <w:szCs w:val="21"/>
        </w:rPr>
      </w:pPr>
    </w:p>
    <w:p w14:paraId="77D0E654">
      <w:pPr>
        <w:spacing w:line="360" w:lineRule="auto"/>
        <w:ind w:firstLine="420" w:firstLineChars="200"/>
        <w:rPr>
          <w:rFonts w:hint="eastAsia" w:ascii="宋体" w:hAnsi="宋体" w:cs="宋体"/>
          <w:szCs w:val="21"/>
        </w:rPr>
      </w:pPr>
      <w:r>
        <w:rPr>
          <w:rFonts w:hint="eastAsia" w:ascii="宋体" w:hAnsi="宋体" w:cs="宋体"/>
          <w:szCs w:val="21"/>
        </w:rPr>
        <w:t xml:space="preserve">甲方（盖章）：                                乙方（盖章）：                  </w:t>
      </w:r>
    </w:p>
    <w:p w14:paraId="2421173C">
      <w:pPr>
        <w:spacing w:line="360" w:lineRule="auto"/>
        <w:ind w:firstLine="420" w:firstLineChars="200"/>
        <w:rPr>
          <w:rFonts w:hint="eastAsia" w:ascii="宋体" w:hAnsi="宋体" w:cs="宋体"/>
          <w:szCs w:val="21"/>
        </w:rPr>
      </w:pPr>
      <w:r>
        <w:rPr>
          <w:rFonts w:hint="eastAsia" w:ascii="宋体" w:hAnsi="宋体" w:cs="宋体"/>
          <w:szCs w:val="21"/>
        </w:rPr>
        <w:t>联系人：                                     联系人：</w:t>
      </w:r>
    </w:p>
    <w:p w14:paraId="24850FDF">
      <w:pPr>
        <w:spacing w:line="360" w:lineRule="auto"/>
        <w:ind w:firstLine="420" w:firstLineChars="200"/>
        <w:rPr>
          <w:rFonts w:hint="eastAsia" w:ascii="宋体" w:hAnsi="宋体" w:cs="宋体"/>
          <w:szCs w:val="21"/>
        </w:rPr>
      </w:pPr>
      <w:r>
        <w:rPr>
          <w:rFonts w:hint="eastAsia" w:ascii="宋体" w:hAnsi="宋体" w:cs="宋体"/>
          <w:szCs w:val="21"/>
        </w:rPr>
        <w:t>地址：                                       地址：</w:t>
      </w:r>
    </w:p>
    <w:p w14:paraId="1FBEA4E5">
      <w:pPr>
        <w:spacing w:line="360" w:lineRule="auto"/>
        <w:ind w:firstLine="420" w:firstLineChars="200"/>
        <w:rPr>
          <w:rFonts w:hint="eastAsia" w:ascii="宋体" w:hAnsi="宋体" w:cs="宋体"/>
          <w:szCs w:val="21"/>
        </w:rPr>
      </w:pPr>
      <w:r>
        <w:rPr>
          <w:rFonts w:hint="eastAsia" w:ascii="宋体" w:hAnsi="宋体" w:cs="宋体"/>
          <w:szCs w:val="21"/>
        </w:rPr>
        <w:t>电话和传真：                                 电话和传真：</w:t>
      </w:r>
    </w:p>
    <w:p w14:paraId="6FC8B896">
      <w:pPr>
        <w:spacing w:line="360" w:lineRule="auto"/>
        <w:ind w:firstLine="420" w:firstLineChars="200"/>
        <w:rPr>
          <w:rFonts w:hint="eastAsia" w:ascii="宋体" w:hAnsi="宋体" w:cs="宋体"/>
          <w:szCs w:val="21"/>
        </w:rPr>
      </w:pPr>
      <w:r>
        <w:rPr>
          <w:rFonts w:hint="eastAsia" w:ascii="宋体" w:hAnsi="宋体" w:cs="宋体"/>
          <w:szCs w:val="21"/>
        </w:rPr>
        <w:t>开户银行：                                   开户银行：</w:t>
      </w:r>
    </w:p>
    <w:p w14:paraId="025E32B4">
      <w:pPr>
        <w:spacing w:line="360" w:lineRule="auto"/>
        <w:ind w:firstLine="420" w:firstLineChars="200"/>
        <w:rPr>
          <w:rFonts w:hint="eastAsia" w:ascii="宋体" w:hAnsi="宋体" w:cs="宋体"/>
          <w:szCs w:val="21"/>
        </w:rPr>
      </w:pPr>
      <w:r>
        <w:rPr>
          <w:rFonts w:hint="eastAsia" w:ascii="宋体" w:hAnsi="宋体" w:cs="宋体"/>
          <w:szCs w:val="21"/>
        </w:rPr>
        <w:t>帐号：                                       帐号：</w:t>
      </w:r>
    </w:p>
    <w:p w14:paraId="72CBDF8E">
      <w:pPr>
        <w:spacing w:line="360" w:lineRule="auto"/>
        <w:ind w:firstLine="420" w:firstLineChars="200"/>
        <w:rPr>
          <w:rFonts w:hint="eastAsia" w:ascii="宋体" w:hAnsi="宋体" w:cs="宋体"/>
          <w:szCs w:val="21"/>
        </w:rPr>
      </w:pPr>
      <w:r>
        <w:rPr>
          <w:rFonts w:hint="eastAsia" w:ascii="宋体" w:hAnsi="宋体" w:cs="宋体"/>
          <w:szCs w:val="21"/>
        </w:rPr>
        <w:t>企业信用代码：                               企业信用代码：</w:t>
      </w:r>
    </w:p>
    <w:p w14:paraId="124C4553">
      <w:pPr>
        <w:snapToGrid w:val="0"/>
        <w:spacing w:line="360" w:lineRule="auto"/>
        <w:ind w:firstLine="420" w:firstLineChars="200"/>
        <w:rPr>
          <w:rFonts w:hint="eastAsia" w:ascii="宋体" w:hAnsi="宋体" w:cs="宋体"/>
          <w:szCs w:val="21"/>
        </w:rPr>
      </w:pPr>
      <w:r>
        <w:rPr>
          <w:rFonts w:hint="eastAsia" w:ascii="宋体" w:hAnsi="宋体" w:cs="宋体"/>
          <w:szCs w:val="21"/>
        </w:rPr>
        <w:t>签约时间：     年    月    日         签约时间：     年    月    日</w:t>
      </w:r>
    </w:p>
    <w:p w14:paraId="130C3994">
      <w:pPr>
        <w:pStyle w:val="120"/>
        <w:shd w:val="clear" w:color="auto" w:fill="auto"/>
        <w:spacing w:line="360" w:lineRule="auto"/>
        <w:rPr>
          <w:rFonts w:hint="eastAsia" w:ascii="宋体" w:hAnsi="宋体" w:cs="宋体"/>
          <w:kern w:val="2"/>
          <w:szCs w:val="21"/>
        </w:rPr>
      </w:pPr>
    </w:p>
    <w:p w14:paraId="57098DA0">
      <w:pPr>
        <w:pStyle w:val="3"/>
        <w:rPr>
          <w:rFonts w:hint="eastAsia" w:ascii="宋体" w:hAnsi="宋体" w:cs="宋体"/>
          <w:b w:val="0"/>
          <w:color w:val="auto"/>
        </w:rPr>
      </w:pPr>
      <w:r>
        <w:rPr>
          <w:rFonts w:ascii="宋体" w:hAnsi="宋体"/>
          <w:b w:val="0"/>
          <w:color w:val="auto"/>
          <w:szCs w:val="32"/>
        </w:rPr>
        <w:br w:type="page"/>
      </w:r>
      <w:bookmarkEnd w:id="2"/>
      <w:bookmarkEnd w:id="3"/>
      <w:bookmarkEnd w:id="4"/>
      <w:bookmarkEnd w:id="5"/>
      <w:bookmarkStart w:id="19" w:name="_Toc14920"/>
      <w:r>
        <w:rPr>
          <w:rFonts w:hint="eastAsia" w:ascii="宋体" w:hAnsi="宋体" w:cs="宋体"/>
          <w:bCs/>
          <w:color w:val="auto"/>
        </w:rPr>
        <w:t>第六章  响应文件格式</w:t>
      </w:r>
      <w:bookmarkEnd w:id="19"/>
    </w:p>
    <w:p w14:paraId="248B0912">
      <w:pPr>
        <w:spacing w:line="360" w:lineRule="auto"/>
        <w:jc w:val="center"/>
        <w:rPr>
          <w:rFonts w:hint="eastAsia" w:ascii="宋体" w:hAnsi="宋体" w:cs="宋体"/>
        </w:rPr>
      </w:pPr>
      <w:r>
        <w:rPr>
          <w:rFonts w:hint="eastAsia" w:ascii="宋体" w:hAnsi="宋体" w:cs="宋体"/>
        </w:rPr>
        <w:t>（未提供格式的由供应商自拟）</w:t>
      </w:r>
    </w:p>
    <w:p w14:paraId="04E7B822">
      <w:pPr>
        <w:spacing w:line="360" w:lineRule="auto"/>
        <w:rPr>
          <w:rFonts w:hint="eastAsia" w:ascii="宋体" w:hAnsi="宋体" w:cs="宋体"/>
        </w:rPr>
      </w:pPr>
      <w:bookmarkStart w:id="20" w:name="_Toc345575534"/>
      <w:bookmarkStart w:id="21" w:name="_Toc350453711"/>
      <w:r>
        <w:rPr>
          <w:rFonts w:hint="eastAsia" w:ascii="宋体" w:hAnsi="宋体" w:cs="宋体"/>
        </w:rPr>
        <w:t>封面</w:t>
      </w:r>
      <w:bookmarkEnd w:id="20"/>
      <w:bookmarkEnd w:id="21"/>
    </w:p>
    <w:p w14:paraId="488F937E">
      <w:pPr>
        <w:spacing w:line="360" w:lineRule="auto"/>
        <w:rPr>
          <w:rFonts w:hint="eastAsia" w:ascii="宋体" w:hAnsi="宋体" w:cs="宋体"/>
          <w:kern w:val="0"/>
          <w:sz w:val="28"/>
        </w:rPr>
      </w:pPr>
    </w:p>
    <w:p w14:paraId="471A29E1">
      <w:pPr>
        <w:spacing w:line="360" w:lineRule="auto"/>
        <w:rPr>
          <w:rFonts w:hint="eastAsia" w:ascii="宋体" w:hAnsi="宋体" w:cs="宋体"/>
          <w:kern w:val="0"/>
          <w:sz w:val="28"/>
        </w:rPr>
      </w:pPr>
    </w:p>
    <w:p w14:paraId="51C58629">
      <w:pPr>
        <w:spacing w:line="360" w:lineRule="auto"/>
        <w:ind w:left="1134" w:leftChars="540"/>
        <w:rPr>
          <w:rFonts w:hint="eastAsia" w:ascii="宋体" w:hAnsi="宋体" w:cs="宋体"/>
          <w:b/>
          <w:bCs/>
          <w:kern w:val="0"/>
          <w:sz w:val="32"/>
          <w:szCs w:val="32"/>
          <w:u w:val="single"/>
        </w:rPr>
      </w:pPr>
      <w:r>
        <w:rPr>
          <w:rFonts w:hint="eastAsia" w:ascii="宋体" w:hAnsi="宋体" w:cs="宋体"/>
          <w:kern w:val="0"/>
          <w:sz w:val="28"/>
        </w:rPr>
        <w:t>项目编号：</w:t>
      </w:r>
      <w:r>
        <w:rPr>
          <w:rFonts w:hint="eastAsia" w:ascii="宋体" w:hAnsi="宋体" w:cs="宋体"/>
          <w:kern w:val="0"/>
          <w:sz w:val="28"/>
          <w:u w:val="single"/>
        </w:rPr>
        <w:t xml:space="preserve">                                         </w:t>
      </w:r>
    </w:p>
    <w:p w14:paraId="21B8C28A">
      <w:pPr>
        <w:spacing w:line="360" w:lineRule="auto"/>
        <w:ind w:left="1134" w:leftChars="540"/>
        <w:rPr>
          <w:rFonts w:hint="eastAsia" w:ascii="宋体" w:hAnsi="宋体" w:cs="宋体"/>
          <w:kern w:val="0"/>
          <w:sz w:val="28"/>
          <w:u w:val="single"/>
        </w:rPr>
      </w:pPr>
      <w:r>
        <w:rPr>
          <w:rFonts w:hint="eastAsia" w:ascii="宋体" w:hAnsi="宋体" w:cs="宋体"/>
          <w:kern w:val="0"/>
          <w:sz w:val="28"/>
        </w:rPr>
        <w:t>项目名称：</w:t>
      </w:r>
      <w:r>
        <w:rPr>
          <w:rFonts w:hint="eastAsia" w:ascii="宋体" w:hAnsi="宋体" w:cs="宋体"/>
          <w:kern w:val="0"/>
          <w:sz w:val="28"/>
          <w:u w:val="single"/>
        </w:rPr>
        <w:t xml:space="preserve">                                         </w:t>
      </w:r>
    </w:p>
    <w:p w14:paraId="480BF456">
      <w:pPr>
        <w:spacing w:line="360" w:lineRule="auto"/>
        <w:rPr>
          <w:rFonts w:hint="eastAsia" w:ascii="宋体" w:hAnsi="宋体" w:cs="宋体"/>
          <w:kern w:val="0"/>
          <w:sz w:val="24"/>
        </w:rPr>
      </w:pPr>
    </w:p>
    <w:p w14:paraId="0DA956AB">
      <w:pPr>
        <w:spacing w:line="360" w:lineRule="auto"/>
        <w:rPr>
          <w:rFonts w:hint="eastAsia" w:ascii="宋体" w:hAnsi="宋体" w:cs="宋体"/>
          <w:kern w:val="0"/>
          <w:sz w:val="24"/>
        </w:rPr>
      </w:pPr>
    </w:p>
    <w:p w14:paraId="346EA647">
      <w:pPr>
        <w:spacing w:line="360" w:lineRule="auto"/>
        <w:rPr>
          <w:rFonts w:hint="eastAsia" w:ascii="宋体" w:hAnsi="宋体" w:cs="宋体"/>
          <w:kern w:val="0"/>
          <w:sz w:val="24"/>
        </w:rPr>
      </w:pPr>
    </w:p>
    <w:p w14:paraId="13EDC890">
      <w:pPr>
        <w:spacing w:line="360" w:lineRule="auto"/>
        <w:ind w:left="1134" w:leftChars="540"/>
        <w:rPr>
          <w:rFonts w:hint="eastAsia" w:ascii="宋体" w:hAnsi="宋体" w:cs="宋体"/>
          <w:kern w:val="0"/>
          <w:sz w:val="24"/>
        </w:rPr>
      </w:pPr>
    </w:p>
    <w:p w14:paraId="2433FCD4">
      <w:pPr>
        <w:spacing w:line="360" w:lineRule="auto"/>
        <w:jc w:val="center"/>
        <w:rPr>
          <w:rFonts w:hint="eastAsia" w:ascii="宋体" w:hAnsi="宋体" w:cs="宋体"/>
          <w:kern w:val="0"/>
          <w:sz w:val="72"/>
        </w:rPr>
      </w:pPr>
      <w:r>
        <w:rPr>
          <w:rFonts w:hint="eastAsia" w:ascii="宋体" w:hAnsi="宋体" w:cs="宋体"/>
          <w:kern w:val="0"/>
          <w:sz w:val="72"/>
        </w:rPr>
        <w:t>投 标 响 应 文 件</w:t>
      </w:r>
    </w:p>
    <w:p w14:paraId="7977138C">
      <w:pPr>
        <w:spacing w:line="360" w:lineRule="auto"/>
        <w:jc w:val="center"/>
        <w:rPr>
          <w:rFonts w:hint="eastAsia" w:ascii="宋体" w:hAnsi="宋体" w:cs="宋体"/>
          <w:kern w:val="0"/>
          <w:sz w:val="32"/>
          <w:szCs w:val="32"/>
        </w:rPr>
      </w:pPr>
      <w:r>
        <w:rPr>
          <w:rFonts w:hint="eastAsia" w:ascii="宋体" w:hAnsi="宋体" w:cs="宋体"/>
          <w:kern w:val="0"/>
          <w:sz w:val="32"/>
          <w:szCs w:val="32"/>
        </w:rPr>
        <w:t>（报价文件）</w:t>
      </w:r>
    </w:p>
    <w:p w14:paraId="6835ED73">
      <w:pPr>
        <w:spacing w:line="360" w:lineRule="auto"/>
        <w:ind w:left="1134" w:leftChars="540"/>
        <w:rPr>
          <w:rFonts w:hint="eastAsia" w:ascii="宋体" w:hAnsi="宋体" w:cs="宋体"/>
          <w:kern w:val="0"/>
          <w:szCs w:val="21"/>
        </w:rPr>
      </w:pPr>
    </w:p>
    <w:p w14:paraId="77E33DE6">
      <w:pPr>
        <w:spacing w:line="360" w:lineRule="auto"/>
        <w:rPr>
          <w:rFonts w:hint="eastAsia" w:ascii="宋体" w:hAnsi="宋体" w:cs="宋体"/>
          <w:kern w:val="0"/>
          <w:sz w:val="20"/>
        </w:rPr>
      </w:pPr>
    </w:p>
    <w:p w14:paraId="63CA9AB0">
      <w:pPr>
        <w:spacing w:line="360" w:lineRule="auto"/>
        <w:rPr>
          <w:rFonts w:hint="eastAsia" w:ascii="宋体" w:hAnsi="宋体" w:cs="宋体"/>
          <w:kern w:val="0"/>
          <w:sz w:val="20"/>
        </w:rPr>
      </w:pPr>
    </w:p>
    <w:p w14:paraId="6E9D2EC5">
      <w:pPr>
        <w:spacing w:line="360" w:lineRule="auto"/>
        <w:ind w:left="1134" w:leftChars="540"/>
        <w:rPr>
          <w:rFonts w:hint="eastAsia" w:ascii="宋体" w:hAnsi="宋体" w:cs="宋体"/>
          <w:kern w:val="0"/>
          <w:sz w:val="20"/>
        </w:rPr>
      </w:pPr>
    </w:p>
    <w:p w14:paraId="1F183DCB">
      <w:pPr>
        <w:spacing w:line="360" w:lineRule="auto"/>
        <w:ind w:left="1134" w:leftChars="540"/>
        <w:rPr>
          <w:rFonts w:hint="eastAsia" w:ascii="宋体" w:hAnsi="宋体" w:cs="宋体"/>
          <w:kern w:val="0"/>
          <w:sz w:val="20"/>
        </w:rPr>
      </w:pPr>
    </w:p>
    <w:p w14:paraId="000762E7">
      <w:pPr>
        <w:spacing w:line="360" w:lineRule="auto"/>
        <w:ind w:left="1134" w:leftChars="540"/>
        <w:rPr>
          <w:rFonts w:hint="eastAsia" w:ascii="宋体" w:hAnsi="宋体" w:cs="宋体"/>
          <w:kern w:val="0"/>
          <w:sz w:val="20"/>
        </w:rPr>
      </w:pPr>
    </w:p>
    <w:p w14:paraId="3669D657">
      <w:pPr>
        <w:spacing w:line="360" w:lineRule="auto"/>
        <w:ind w:left="1134" w:leftChars="540"/>
        <w:rPr>
          <w:rFonts w:hint="eastAsia" w:ascii="宋体" w:hAnsi="宋体" w:cs="宋体"/>
          <w:kern w:val="0"/>
          <w:sz w:val="20"/>
        </w:rPr>
      </w:pPr>
    </w:p>
    <w:p w14:paraId="155097B5">
      <w:pPr>
        <w:spacing w:line="360" w:lineRule="auto"/>
        <w:ind w:left="1134" w:leftChars="540"/>
        <w:rPr>
          <w:rFonts w:hint="eastAsia" w:ascii="宋体" w:hAnsi="宋体" w:cs="宋体"/>
          <w:kern w:val="0"/>
          <w:sz w:val="20"/>
        </w:rPr>
      </w:pPr>
    </w:p>
    <w:p w14:paraId="4FD8C289">
      <w:pPr>
        <w:spacing w:line="360" w:lineRule="auto"/>
        <w:ind w:left="1134" w:leftChars="540"/>
        <w:rPr>
          <w:rFonts w:hint="eastAsia" w:ascii="宋体" w:hAnsi="宋体" w:cs="宋体"/>
          <w:kern w:val="0"/>
          <w:sz w:val="20"/>
        </w:rPr>
      </w:pPr>
    </w:p>
    <w:p w14:paraId="49ABDC0F">
      <w:pPr>
        <w:spacing w:line="360" w:lineRule="auto"/>
        <w:ind w:left="1134" w:leftChars="540"/>
        <w:rPr>
          <w:rFonts w:hint="eastAsia" w:ascii="宋体" w:hAnsi="宋体" w:cs="宋体"/>
          <w:kern w:val="0"/>
          <w:sz w:val="20"/>
        </w:rPr>
      </w:pPr>
    </w:p>
    <w:p w14:paraId="61260091">
      <w:pPr>
        <w:spacing w:line="360" w:lineRule="auto"/>
        <w:ind w:left="1134" w:leftChars="540"/>
        <w:rPr>
          <w:rFonts w:hint="eastAsia" w:ascii="宋体" w:hAnsi="宋体" w:cs="宋体"/>
          <w:kern w:val="0"/>
          <w:sz w:val="20"/>
        </w:rPr>
      </w:pPr>
    </w:p>
    <w:p w14:paraId="09F0A1B5">
      <w:pPr>
        <w:spacing w:line="360" w:lineRule="auto"/>
        <w:ind w:left="1134" w:leftChars="540"/>
        <w:rPr>
          <w:rFonts w:hint="eastAsia" w:ascii="宋体" w:hAnsi="宋体" w:cs="宋体"/>
          <w:kern w:val="0"/>
          <w:sz w:val="28"/>
        </w:rPr>
      </w:pPr>
      <w:r>
        <w:rPr>
          <w:rFonts w:hint="eastAsia" w:ascii="宋体" w:hAnsi="宋体" w:cs="宋体"/>
          <w:kern w:val="0"/>
          <w:sz w:val="28"/>
        </w:rPr>
        <w:t>供应商：</w:t>
      </w:r>
      <w:r>
        <w:rPr>
          <w:rFonts w:hint="eastAsia" w:ascii="宋体" w:hAnsi="宋体" w:cs="宋体"/>
          <w:kern w:val="0"/>
          <w:sz w:val="28"/>
          <w:u w:val="single"/>
        </w:rPr>
        <w:t xml:space="preserve">                             </w:t>
      </w:r>
      <w:r>
        <w:rPr>
          <w:rFonts w:hint="eastAsia" w:ascii="宋体" w:hAnsi="宋体" w:cs="宋体"/>
          <w:kern w:val="0"/>
          <w:sz w:val="28"/>
        </w:rPr>
        <w:t>（电子签章）</w:t>
      </w:r>
    </w:p>
    <w:p w14:paraId="6F7846DC">
      <w:pPr>
        <w:spacing w:line="360" w:lineRule="auto"/>
        <w:ind w:left="1134" w:leftChars="540"/>
        <w:rPr>
          <w:rFonts w:hint="eastAsia" w:ascii="宋体" w:hAnsi="宋体" w:cs="宋体"/>
          <w:kern w:val="0"/>
          <w:sz w:val="28"/>
        </w:rPr>
      </w:pPr>
    </w:p>
    <w:p w14:paraId="74436945">
      <w:pPr>
        <w:spacing w:line="360" w:lineRule="auto"/>
        <w:ind w:firstLine="3080" w:firstLineChars="1100"/>
        <w:rPr>
          <w:rFonts w:hint="eastAsia" w:ascii="宋体" w:hAnsi="宋体" w:cs="宋体"/>
          <w:kern w:val="0"/>
          <w:sz w:val="28"/>
        </w:rPr>
      </w:pPr>
      <w:r>
        <w:rPr>
          <w:rFonts w:hint="eastAsia" w:ascii="宋体" w:hAnsi="宋体" w:cs="宋体"/>
          <w:kern w:val="0"/>
          <w:sz w:val="28"/>
          <w:u w:val="single"/>
        </w:rPr>
        <w:t xml:space="preserve">      </w:t>
      </w:r>
      <w:r>
        <w:rPr>
          <w:rFonts w:hint="eastAsia" w:ascii="宋体" w:hAnsi="宋体" w:cs="宋体"/>
          <w:kern w:val="0"/>
          <w:sz w:val="28"/>
        </w:rPr>
        <w:t>年</w:t>
      </w:r>
      <w:r>
        <w:rPr>
          <w:rFonts w:hint="eastAsia" w:ascii="宋体" w:hAnsi="宋体" w:cs="宋体"/>
          <w:kern w:val="0"/>
          <w:sz w:val="28"/>
          <w:u w:val="single"/>
        </w:rPr>
        <w:t xml:space="preserve">   </w:t>
      </w:r>
      <w:r>
        <w:rPr>
          <w:rFonts w:hint="eastAsia" w:ascii="宋体" w:hAnsi="宋体" w:cs="宋体"/>
          <w:kern w:val="0"/>
          <w:sz w:val="28"/>
        </w:rPr>
        <w:t>月</w:t>
      </w:r>
      <w:r>
        <w:rPr>
          <w:rFonts w:hint="eastAsia" w:ascii="宋体" w:hAnsi="宋体" w:cs="宋体"/>
          <w:kern w:val="0"/>
          <w:sz w:val="28"/>
          <w:u w:val="single"/>
        </w:rPr>
        <w:t xml:space="preserve">   </w:t>
      </w:r>
      <w:r>
        <w:rPr>
          <w:rFonts w:hint="eastAsia" w:ascii="宋体" w:hAnsi="宋体" w:cs="宋体"/>
          <w:kern w:val="0"/>
          <w:sz w:val="28"/>
        </w:rPr>
        <w:t>日</w:t>
      </w:r>
    </w:p>
    <w:p w14:paraId="592A65F0">
      <w:pPr>
        <w:spacing w:line="360" w:lineRule="auto"/>
        <w:rPr>
          <w:rFonts w:hint="eastAsia" w:ascii="宋体" w:hAnsi="宋体" w:cs="宋体"/>
        </w:rPr>
      </w:pPr>
    </w:p>
    <w:p w14:paraId="4A959B5A">
      <w:pPr>
        <w:pStyle w:val="4"/>
        <w:ind w:firstLine="0" w:firstLineChars="0"/>
        <w:rPr>
          <w:rFonts w:hint="eastAsia" w:ascii="宋体" w:hAnsi="宋体" w:cs="宋体"/>
        </w:rPr>
      </w:pPr>
      <w:bookmarkStart w:id="22" w:name="_Toc25670"/>
      <w:bookmarkStart w:id="23" w:name="_Toc26987"/>
      <w:bookmarkStart w:id="24" w:name="_Toc345575538"/>
      <w:bookmarkStart w:id="25" w:name="_Toc28634"/>
      <w:bookmarkStart w:id="26" w:name="_Toc6745"/>
      <w:bookmarkStart w:id="27" w:name="_Toc19570"/>
      <w:bookmarkStart w:id="28" w:name="_Toc519160208"/>
      <w:bookmarkStart w:id="29" w:name="_Toc336683578"/>
      <w:bookmarkStart w:id="30" w:name="_Toc22351"/>
      <w:bookmarkStart w:id="31" w:name="_Toc467745179"/>
      <w:r>
        <w:rPr>
          <w:rFonts w:hint="eastAsia" w:ascii="宋体" w:hAnsi="宋体" w:cs="宋体"/>
        </w:rPr>
        <w:t>一、响应函格式</w:t>
      </w:r>
      <w:bookmarkEnd w:id="22"/>
      <w:bookmarkEnd w:id="23"/>
      <w:bookmarkEnd w:id="24"/>
      <w:bookmarkEnd w:id="25"/>
      <w:bookmarkEnd w:id="26"/>
      <w:bookmarkEnd w:id="27"/>
      <w:bookmarkEnd w:id="28"/>
      <w:bookmarkEnd w:id="29"/>
      <w:bookmarkEnd w:id="30"/>
      <w:bookmarkEnd w:id="31"/>
      <w:r>
        <w:rPr>
          <w:rFonts w:hint="eastAsia" w:ascii="宋体" w:hAnsi="宋体" w:cs="宋体"/>
        </w:rPr>
        <w:t xml:space="preserve"> </w:t>
      </w:r>
    </w:p>
    <w:p w14:paraId="6875AC80">
      <w:pPr>
        <w:spacing w:line="360" w:lineRule="auto"/>
        <w:jc w:val="center"/>
        <w:rPr>
          <w:rFonts w:hint="eastAsia" w:ascii="宋体" w:hAnsi="宋体" w:cs="宋体"/>
          <w:b/>
          <w:bCs/>
          <w:sz w:val="32"/>
          <w:szCs w:val="32"/>
        </w:rPr>
      </w:pPr>
      <w:r>
        <w:rPr>
          <w:rFonts w:hint="eastAsia" w:ascii="宋体" w:hAnsi="宋体" w:cs="宋体"/>
          <w:b/>
          <w:bCs/>
          <w:sz w:val="32"/>
          <w:szCs w:val="32"/>
        </w:rPr>
        <w:t>响应函</w:t>
      </w:r>
    </w:p>
    <w:p w14:paraId="05679E6B">
      <w:pPr>
        <w:pStyle w:val="24"/>
        <w:adjustRightInd w:val="0"/>
        <w:snapToGrid w:val="0"/>
        <w:spacing w:line="360" w:lineRule="auto"/>
        <w:rPr>
          <w:rFonts w:hint="eastAsia" w:hAnsi="宋体" w:cs="宋体"/>
        </w:rPr>
      </w:pPr>
      <w:r>
        <w:rPr>
          <w:rFonts w:hint="eastAsia" w:hAnsi="宋体" w:cs="宋体"/>
          <w:u w:val="single"/>
        </w:rPr>
        <w:t>（采购人单位名称）</w:t>
      </w:r>
      <w:r>
        <w:rPr>
          <w:rFonts w:hint="eastAsia" w:hAnsi="宋体" w:cs="宋体"/>
        </w:rPr>
        <w:t>：</w:t>
      </w:r>
    </w:p>
    <w:p w14:paraId="73352245">
      <w:pPr>
        <w:pStyle w:val="24"/>
        <w:adjustRightInd w:val="0"/>
        <w:snapToGrid w:val="0"/>
        <w:spacing w:line="360" w:lineRule="auto"/>
        <w:rPr>
          <w:rFonts w:hint="eastAsia" w:hAnsi="宋体" w:cs="宋体"/>
        </w:rPr>
      </w:pPr>
      <w:r>
        <w:rPr>
          <w:rFonts w:hint="eastAsia" w:hAnsi="宋体" w:cs="宋体"/>
          <w:u w:val="single"/>
        </w:rPr>
        <w:t>浙江万汇招标代理有限公司</w:t>
      </w:r>
      <w:r>
        <w:rPr>
          <w:rFonts w:hint="eastAsia" w:hAnsi="宋体" w:cs="宋体"/>
        </w:rPr>
        <w:t>：</w:t>
      </w:r>
    </w:p>
    <w:p w14:paraId="5870A222">
      <w:pPr>
        <w:pStyle w:val="24"/>
        <w:adjustRightInd w:val="0"/>
        <w:snapToGrid w:val="0"/>
        <w:spacing w:line="360" w:lineRule="auto"/>
        <w:ind w:firstLine="411" w:firstLineChars="196"/>
        <w:rPr>
          <w:rFonts w:hint="eastAsia" w:hAnsi="宋体" w:cs="宋体"/>
        </w:rPr>
      </w:pPr>
      <w:r>
        <w:rPr>
          <w:rFonts w:hint="eastAsia" w:hAnsi="宋体" w:cs="宋体"/>
          <w:u w:val="single"/>
        </w:rPr>
        <w:t xml:space="preserve">                 </w:t>
      </w:r>
      <w:r>
        <w:rPr>
          <w:rFonts w:hint="eastAsia" w:hAnsi="宋体" w:cs="宋体"/>
        </w:rPr>
        <w:t>（供应商全称）参加贵方组织的</w:t>
      </w:r>
      <w:r>
        <w:rPr>
          <w:rFonts w:hint="eastAsia" w:hAnsi="宋体" w:cs="宋体"/>
          <w:u w:val="single"/>
        </w:rPr>
        <w:t xml:space="preserve">             </w:t>
      </w:r>
      <w:r>
        <w:rPr>
          <w:rFonts w:hint="eastAsia" w:hAnsi="宋体" w:cs="宋体"/>
        </w:rPr>
        <w:t>（项目名称）</w:t>
      </w:r>
      <w:r>
        <w:rPr>
          <w:rFonts w:hint="eastAsia" w:hAnsi="宋体" w:cs="宋体"/>
          <w:u w:val="single"/>
        </w:rPr>
        <w:t xml:space="preserve">               </w:t>
      </w:r>
      <w:r>
        <w:rPr>
          <w:rFonts w:hint="eastAsia" w:hAnsi="宋体" w:cs="宋体"/>
        </w:rPr>
        <w:t>（项目编号）采购有关活动，并对次项目进行响应。为此我方：</w:t>
      </w:r>
    </w:p>
    <w:p w14:paraId="7408CFEF">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1、承诺在供应商</w:t>
      </w:r>
      <w:r>
        <w:rPr>
          <w:rFonts w:hint="eastAsia" w:ascii="宋体" w:hAnsi="宋体" w:cs="宋体"/>
          <w:kern w:val="44"/>
          <w:szCs w:val="21"/>
        </w:rPr>
        <w:t>须知</w:t>
      </w:r>
      <w:r>
        <w:rPr>
          <w:rFonts w:hint="eastAsia" w:ascii="宋体" w:hAnsi="宋体" w:cs="宋体"/>
          <w:szCs w:val="21"/>
        </w:rPr>
        <w:t>规定的响应截止日起遵守本响应文件中的承诺，且在响应文件有效期满之前均具有约束力。</w:t>
      </w:r>
    </w:p>
    <w:p w14:paraId="111DFF02">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2、承诺已经具备招标文件中规定的参加本次采购活动的供应商应当具备的条件及采购人规定的特定条件。</w:t>
      </w:r>
    </w:p>
    <w:p w14:paraId="46CCBAE1">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3、已详细审核全部招标文件，包括招标文件补充（如果有）、参考资料及有关附件，确认无误。</w:t>
      </w:r>
    </w:p>
    <w:p w14:paraId="372A2AB2">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4、提供</w:t>
      </w:r>
      <w:r>
        <w:rPr>
          <w:rFonts w:hint="eastAsia" w:ascii="宋体" w:hAnsi="宋体" w:cs="宋体"/>
          <w:kern w:val="44"/>
          <w:szCs w:val="21"/>
        </w:rPr>
        <w:t>供应商须知</w:t>
      </w:r>
      <w:r>
        <w:rPr>
          <w:rFonts w:hint="eastAsia" w:ascii="宋体" w:hAnsi="宋体" w:cs="宋体"/>
          <w:szCs w:val="21"/>
        </w:rPr>
        <w:t>规定的全部响应文件。</w:t>
      </w:r>
    </w:p>
    <w:p w14:paraId="67B4CA26">
      <w:pPr>
        <w:adjustRightInd w:val="0"/>
        <w:snapToGrid w:val="0"/>
        <w:spacing w:line="360" w:lineRule="auto"/>
        <w:ind w:firstLine="420" w:firstLineChars="200"/>
        <w:rPr>
          <w:rFonts w:hint="eastAsia" w:ascii="宋体" w:hAnsi="宋体" w:cs="宋体"/>
        </w:rPr>
      </w:pPr>
      <w:r>
        <w:rPr>
          <w:rFonts w:hint="eastAsia" w:ascii="宋体" w:hAnsi="宋体" w:cs="宋体"/>
          <w:szCs w:val="21"/>
        </w:rPr>
        <w:t>5、公开招标</w:t>
      </w:r>
      <w:r>
        <w:rPr>
          <w:rFonts w:hint="eastAsia" w:ascii="宋体" w:hAnsi="宋体" w:cs="宋体"/>
        </w:rPr>
        <w:t>报价详见《报价一览表》。</w:t>
      </w:r>
    </w:p>
    <w:p w14:paraId="1DBC0BB1">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6、保证遵守招标文件中的其他有关规定。</w:t>
      </w:r>
    </w:p>
    <w:p w14:paraId="521950C1">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7、完全理解不一定接受最低价成交。</w:t>
      </w:r>
    </w:p>
    <w:p w14:paraId="303BD295">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8、愿意向贵方提供任何与该项目响应有关的数据、情况和技术资料。若贵方需要，愿意提供我方做出的一切承诺的证明材料。</w:t>
      </w:r>
    </w:p>
    <w:p w14:paraId="020A6923">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9、保证忠实地执行双方所签订的合同，并承担合同规定的责任和义务。</w:t>
      </w:r>
    </w:p>
    <w:p w14:paraId="6470105F">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10、将严格遵守相关法律法规的规定，供应商有下列情形之一的，处以采购金额5‰以上10‰以下的罚款，列入不良行为记录名单，并上报主管部门；情节严重的，由工商行政管理机关吊销营业执照；构成犯罪的，依法追究刑事责任：</w:t>
      </w:r>
    </w:p>
    <w:p w14:paraId="3A30F03F">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（1）提供虚假材料谋取成交的；</w:t>
      </w:r>
    </w:p>
    <w:p w14:paraId="027D624E">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（2）采取不正当手段诋毁、排挤其他供应商的；</w:t>
      </w:r>
    </w:p>
    <w:p w14:paraId="1F30ED68">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（3）与采购人、其它供应商或者采购代理机构恶意串通的；</w:t>
      </w:r>
    </w:p>
    <w:p w14:paraId="3310628F">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（4）向采购人、采购代理机构行贿或者提供其他不正当利益的；</w:t>
      </w:r>
    </w:p>
    <w:p w14:paraId="16A1E623">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（5）在采购过程中与采购人进行协商谈判的；</w:t>
      </w:r>
    </w:p>
    <w:p w14:paraId="5C068C8D">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（6）拒绝有关部门监督检查或提供虚假情况的。</w:t>
      </w:r>
    </w:p>
    <w:p w14:paraId="024AF423">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供应商有前款第（1）至（6）项情形之一的，成交无效。</w:t>
      </w:r>
    </w:p>
    <w:p w14:paraId="1084A04F">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11、本响应文件的有效期为</w:t>
      </w:r>
      <w:r>
        <w:rPr>
          <w:rFonts w:hint="eastAsia" w:ascii="宋体" w:hAnsi="宋体" w:cs="宋体"/>
        </w:rPr>
        <w:t>自响应截止时间起120天。</w:t>
      </w:r>
    </w:p>
    <w:p w14:paraId="4B06B604">
      <w:pPr>
        <w:adjustRightInd w:val="0"/>
        <w:snapToGrid w:val="0"/>
        <w:spacing w:line="360" w:lineRule="auto"/>
        <w:ind w:firstLine="420" w:firstLineChars="200"/>
        <w:rPr>
          <w:rFonts w:hint="eastAsia" w:ascii="宋体" w:hAnsi="宋体" w:cs="宋体"/>
        </w:rPr>
      </w:pPr>
    </w:p>
    <w:p w14:paraId="5B819496">
      <w:pPr>
        <w:adjustRightInd w:val="0"/>
        <w:snapToGrid w:val="0"/>
        <w:spacing w:line="360" w:lineRule="auto"/>
        <w:ind w:firstLine="420" w:firstLineChars="200"/>
        <w:rPr>
          <w:rFonts w:hint="eastAsia" w:ascii="宋体" w:hAnsi="宋体" w:cs="宋体"/>
        </w:rPr>
      </w:pPr>
      <w:r>
        <w:rPr>
          <w:rFonts w:hint="eastAsia" w:ascii="宋体" w:hAnsi="宋体" w:cs="宋体"/>
        </w:rPr>
        <w:t xml:space="preserve">供应商全称（电子签章）：    </w:t>
      </w:r>
    </w:p>
    <w:p w14:paraId="152E363B">
      <w:pPr>
        <w:adjustRightInd w:val="0"/>
        <w:snapToGrid w:val="0"/>
        <w:spacing w:line="360" w:lineRule="auto"/>
        <w:ind w:firstLine="420" w:firstLineChars="200"/>
        <w:rPr>
          <w:rFonts w:hint="eastAsia" w:ascii="宋体" w:hAnsi="宋体" w:cs="宋体"/>
        </w:rPr>
      </w:pPr>
      <w:r>
        <w:rPr>
          <w:rFonts w:hint="eastAsia" w:ascii="宋体" w:hAnsi="宋体" w:cs="宋体"/>
        </w:rPr>
        <w:t>日期：</w:t>
      </w:r>
    </w:p>
    <w:p w14:paraId="28E332F4">
      <w:pPr>
        <w:pStyle w:val="24"/>
        <w:adjustRightInd w:val="0"/>
        <w:snapToGrid w:val="0"/>
        <w:spacing w:line="360" w:lineRule="auto"/>
        <w:ind w:firstLine="480"/>
        <w:rPr>
          <w:rFonts w:hint="eastAsia" w:hAnsi="宋体" w:cs="宋体"/>
        </w:rPr>
      </w:pPr>
      <w:r>
        <w:rPr>
          <w:rFonts w:hint="eastAsia" w:hAnsi="宋体" w:cs="宋体"/>
        </w:rPr>
        <w:t>单位地址：</w:t>
      </w:r>
      <w:r>
        <w:rPr>
          <w:rFonts w:hint="eastAsia" w:hAnsi="宋体" w:cs="宋体"/>
          <w:u w:val="single"/>
        </w:rPr>
        <w:t xml:space="preserve">                                                </w:t>
      </w:r>
    </w:p>
    <w:p w14:paraId="2F2672FD">
      <w:pPr>
        <w:pStyle w:val="24"/>
        <w:adjustRightInd w:val="0"/>
        <w:snapToGrid w:val="0"/>
        <w:spacing w:line="360" w:lineRule="auto"/>
        <w:ind w:firstLine="480"/>
        <w:rPr>
          <w:rFonts w:hint="eastAsia" w:hAnsi="宋体" w:cs="宋体"/>
        </w:rPr>
      </w:pPr>
      <w:r>
        <w:rPr>
          <w:rFonts w:hint="eastAsia" w:hAnsi="宋体" w:cs="宋体"/>
        </w:rPr>
        <w:t>邮编：</w:t>
      </w:r>
      <w:r>
        <w:rPr>
          <w:rFonts w:hint="eastAsia" w:hAnsi="宋体" w:cs="宋体"/>
          <w:u w:val="single"/>
        </w:rPr>
        <w:t xml:space="preserve">            </w:t>
      </w:r>
      <w:r>
        <w:rPr>
          <w:rFonts w:hint="eastAsia" w:hAnsi="宋体" w:cs="宋体"/>
        </w:rPr>
        <w:t>电话：</w:t>
      </w:r>
      <w:r>
        <w:rPr>
          <w:rFonts w:hint="eastAsia" w:hAnsi="宋体" w:cs="宋体"/>
          <w:u w:val="single"/>
        </w:rPr>
        <w:t xml:space="preserve">          </w:t>
      </w:r>
      <w:r>
        <w:rPr>
          <w:rFonts w:hint="eastAsia" w:hAnsi="宋体" w:cs="宋体"/>
        </w:rPr>
        <w:t>传真：</w:t>
      </w:r>
      <w:r>
        <w:rPr>
          <w:rFonts w:hint="eastAsia" w:hAnsi="宋体" w:cs="宋体"/>
          <w:u w:val="single"/>
        </w:rPr>
        <w:t xml:space="preserve">              </w:t>
      </w:r>
    </w:p>
    <w:p w14:paraId="71161E29">
      <w:pPr>
        <w:pStyle w:val="4"/>
        <w:ind w:firstLine="422"/>
        <w:rPr>
          <w:rFonts w:hint="eastAsia" w:hAnsi="宋体" w:cs="Arial"/>
        </w:rPr>
        <w:sectPr>
          <w:footerReference r:id="rId6" w:type="first"/>
          <w:footerReference r:id="rId5" w:type="default"/>
          <w:pgSz w:w="11906" w:h="16838"/>
          <w:pgMar w:top="1247" w:right="1247" w:bottom="1247" w:left="1247" w:header="720" w:footer="720" w:gutter="0"/>
          <w:pgNumType w:start="1"/>
          <w:cols w:space="720" w:num="1"/>
          <w:titlePg/>
          <w:docGrid w:linePitch="286" w:charSpace="-3831"/>
        </w:sectPr>
      </w:pPr>
    </w:p>
    <w:p w14:paraId="78900B52">
      <w:pPr>
        <w:pStyle w:val="4"/>
        <w:ind w:firstLine="0" w:firstLineChars="0"/>
        <w:rPr>
          <w:rFonts w:hint="eastAsia" w:ascii="宋体" w:hAnsi="宋体" w:cs="宋体"/>
          <w:b w:val="0"/>
          <w:sz w:val="30"/>
          <w:szCs w:val="30"/>
        </w:rPr>
      </w:pPr>
      <w:bookmarkStart w:id="32" w:name="_Toc17744"/>
      <w:bookmarkStart w:id="33" w:name="_Toc22346"/>
      <w:bookmarkStart w:id="34" w:name="_Toc350453715"/>
      <w:bookmarkStart w:id="35" w:name="_Toc4006"/>
      <w:bookmarkStart w:id="36" w:name="_Toc2045"/>
      <w:bookmarkStart w:id="37" w:name="_Toc336683579"/>
      <w:bookmarkStart w:id="38" w:name="_Toc519160209"/>
      <w:bookmarkStart w:id="39" w:name="_Toc17308"/>
      <w:bookmarkStart w:id="40" w:name="_Toc345575539"/>
      <w:bookmarkStart w:id="41" w:name="_Toc427610946"/>
      <w:bookmarkStart w:id="42" w:name="_Toc30573"/>
      <w:r>
        <w:rPr>
          <w:rFonts w:hint="eastAsia" w:ascii="宋体" w:hAnsi="宋体" w:cs="宋体"/>
          <w:bCs w:val="0"/>
        </w:rPr>
        <w:t>二、初次报价一览表格式</w:t>
      </w:r>
      <w:bookmarkEnd w:id="32"/>
      <w:bookmarkEnd w:id="33"/>
      <w:bookmarkEnd w:id="34"/>
      <w:bookmarkEnd w:id="35"/>
      <w:bookmarkEnd w:id="36"/>
      <w:bookmarkEnd w:id="37"/>
      <w:bookmarkEnd w:id="38"/>
      <w:bookmarkEnd w:id="39"/>
      <w:bookmarkEnd w:id="40"/>
      <w:bookmarkEnd w:id="41"/>
      <w:bookmarkEnd w:id="42"/>
    </w:p>
    <w:p w14:paraId="490F2F84">
      <w:pPr>
        <w:spacing w:line="360" w:lineRule="auto"/>
        <w:jc w:val="center"/>
        <w:rPr>
          <w:rFonts w:hint="eastAsia" w:ascii="宋体" w:hAnsi="宋体" w:cs="宋体"/>
          <w:b/>
          <w:sz w:val="30"/>
          <w:szCs w:val="30"/>
        </w:rPr>
      </w:pPr>
      <w:r>
        <w:rPr>
          <w:rFonts w:hint="eastAsia" w:ascii="宋体" w:hAnsi="宋体" w:cs="宋体"/>
          <w:b/>
          <w:sz w:val="30"/>
          <w:szCs w:val="30"/>
        </w:rPr>
        <w:t>报价一览表</w:t>
      </w:r>
    </w:p>
    <w:p w14:paraId="669EB5FD">
      <w:pPr>
        <w:spacing w:line="360" w:lineRule="auto"/>
        <w:rPr>
          <w:rFonts w:hint="eastAsia" w:ascii="宋体" w:hAnsi="宋体" w:cs="宋体"/>
          <w:szCs w:val="21"/>
        </w:rPr>
      </w:pPr>
    </w:p>
    <w:p w14:paraId="71B89F59">
      <w:pPr>
        <w:spacing w:line="360" w:lineRule="auto"/>
        <w:rPr>
          <w:rFonts w:hint="eastAsia" w:ascii="宋体" w:hAnsi="宋体" w:cs="宋体"/>
          <w:szCs w:val="21"/>
        </w:rPr>
      </w:pPr>
    </w:p>
    <w:p w14:paraId="52C5FD83">
      <w:pPr>
        <w:pStyle w:val="24"/>
        <w:adjustRightInd w:val="0"/>
        <w:snapToGrid w:val="0"/>
        <w:spacing w:line="360" w:lineRule="auto"/>
        <w:rPr>
          <w:rFonts w:hint="eastAsia" w:hAnsi="宋体" w:cs="宋体"/>
          <w:u w:val="single"/>
        </w:rPr>
      </w:pPr>
      <w:r>
        <w:rPr>
          <w:rFonts w:hint="eastAsia" w:hAnsi="宋体" w:cs="宋体"/>
        </w:rPr>
        <w:t xml:space="preserve">项目名称： </w:t>
      </w:r>
      <w:r>
        <w:rPr>
          <w:rFonts w:hint="eastAsia" w:hAnsi="宋体" w:cs="宋体"/>
          <w:u w:val="single"/>
        </w:rPr>
        <w:t xml:space="preserve">                   </w:t>
      </w:r>
    </w:p>
    <w:p w14:paraId="109B5EE3">
      <w:pPr>
        <w:spacing w:line="360" w:lineRule="auto"/>
        <w:rPr>
          <w:rFonts w:hint="eastAsia" w:ascii="宋体" w:hAnsi="宋体" w:cs="宋体"/>
        </w:rPr>
      </w:pPr>
      <w:r>
        <w:rPr>
          <w:rFonts w:hint="eastAsia" w:ascii="宋体" w:hAnsi="宋体" w:cs="宋体"/>
        </w:rPr>
        <w:t xml:space="preserve">项目编号： </w:t>
      </w:r>
      <w:r>
        <w:rPr>
          <w:rFonts w:hint="eastAsia" w:ascii="宋体" w:hAnsi="宋体" w:cs="宋体"/>
          <w:u w:val="single"/>
        </w:rPr>
        <w:t xml:space="preserve">                   </w:t>
      </w:r>
      <w:r>
        <w:rPr>
          <w:rFonts w:hint="eastAsia" w:ascii="宋体" w:hAnsi="宋体" w:cs="宋体"/>
        </w:rPr>
        <w:t xml:space="preserve"> </w:t>
      </w:r>
    </w:p>
    <w:p w14:paraId="3393EB34">
      <w:pPr>
        <w:spacing w:line="360" w:lineRule="auto"/>
        <w:jc w:val="right"/>
        <w:rPr>
          <w:rFonts w:hint="eastAsia" w:ascii="宋体" w:hAnsi="宋体" w:cs="宋体"/>
          <w:spacing w:val="20"/>
          <w:szCs w:val="21"/>
        </w:rPr>
      </w:pPr>
      <w:r>
        <w:rPr>
          <w:rFonts w:hint="eastAsia" w:ascii="宋体" w:hAnsi="宋体" w:cs="宋体"/>
        </w:rPr>
        <w:t>（价格单位：元人民币）</w:t>
      </w:r>
    </w:p>
    <w:tbl>
      <w:tblPr>
        <w:tblStyle w:val="48"/>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7"/>
        <w:gridCol w:w="2182"/>
        <w:gridCol w:w="3014"/>
        <w:gridCol w:w="1313"/>
        <w:gridCol w:w="1319"/>
        <w:gridCol w:w="1315"/>
      </w:tblGrid>
      <w:tr w14:paraId="2DE55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48" w:type="pct"/>
            <w:vAlign w:val="center"/>
          </w:tcPr>
          <w:p w14:paraId="4CB30155">
            <w:pPr>
              <w:snapToGrid w:val="0"/>
              <w:spacing w:line="360" w:lineRule="auto"/>
              <w:jc w:val="center"/>
              <w:rPr>
                <w:rFonts w:hint="eastAsia" w:ascii="宋体" w:hAnsi="宋体" w:cs="宋体"/>
                <w:b/>
              </w:rPr>
            </w:pPr>
            <w:r>
              <w:rPr>
                <w:rFonts w:hint="eastAsia" w:ascii="宋体" w:hAnsi="宋体" w:cs="宋体"/>
                <w:b/>
              </w:rPr>
              <w:t>序号</w:t>
            </w:r>
          </w:p>
        </w:tc>
        <w:tc>
          <w:tcPr>
            <w:tcW w:w="1133" w:type="pct"/>
            <w:vAlign w:val="center"/>
          </w:tcPr>
          <w:p w14:paraId="0A46F2BF">
            <w:pPr>
              <w:snapToGrid w:val="0"/>
              <w:spacing w:line="360" w:lineRule="auto"/>
              <w:jc w:val="center"/>
              <w:rPr>
                <w:rFonts w:hint="eastAsia" w:ascii="宋体" w:hAnsi="宋体" w:cs="宋体"/>
                <w:b/>
              </w:rPr>
            </w:pPr>
            <w:r>
              <w:rPr>
                <w:rFonts w:hint="eastAsia" w:ascii="宋体" w:hAnsi="宋体" w:cs="宋体"/>
                <w:b/>
              </w:rPr>
              <w:t>项目名称</w:t>
            </w:r>
          </w:p>
        </w:tc>
        <w:tc>
          <w:tcPr>
            <w:tcW w:w="1565" w:type="pct"/>
            <w:vAlign w:val="center"/>
          </w:tcPr>
          <w:p w14:paraId="5EDB4D32">
            <w:pPr>
              <w:snapToGrid w:val="0"/>
              <w:spacing w:line="360" w:lineRule="auto"/>
              <w:jc w:val="center"/>
              <w:rPr>
                <w:rFonts w:hint="eastAsia" w:ascii="宋体" w:hAnsi="宋体" w:cs="宋体"/>
                <w:b/>
              </w:rPr>
            </w:pPr>
            <w:r>
              <w:rPr>
                <w:rFonts w:hint="eastAsia" w:ascii="宋体" w:hAnsi="宋体" w:cs="宋体"/>
                <w:b/>
              </w:rPr>
              <w:t>公开招标报价（元）</w:t>
            </w:r>
          </w:p>
        </w:tc>
        <w:tc>
          <w:tcPr>
            <w:tcW w:w="682" w:type="pct"/>
            <w:vAlign w:val="center"/>
          </w:tcPr>
          <w:p w14:paraId="1E2D5FC4">
            <w:pPr>
              <w:snapToGrid w:val="0"/>
              <w:spacing w:line="360" w:lineRule="auto"/>
              <w:jc w:val="center"/>
              <w:rPr>
                <w:rFonts w:hint="eastAsia" w:ascii="宋体" w:hAnsi="宋体" w:cs="宋体"/>
                <w:b/>
              </w:rPr>
            </w:pPr>
            <w:r>
              <w:rPr>
                <w:rFonts w:hint="eastAsia" w:ascii="宋体" w:hAnsi="宋体" w:cs="宋体"/>
                <w:b/>
              </w:rPr>
              <w:t>项目负责人</w:t>
            </w:r>
          </w:p>
        </w:tc>
        <w:tc>
          <w:tcPr>
            <w:tcW w:w="685" w:type="pct"/>
            <w:vAlign w:val="center"/>
          </w:tcPr>
          <w:p w14:paraId="4DBFAB8F">
            <w:pPr>
              <w:spacing w:line="360" w:lineRule="auto"/>
              <w:jc w:val="center"/>
              <w:rPr>
                <w:rFonts w:hint="eastAsia" w:ascii="宋体" w:hAnsi="宋体" w:cs="宋体"/>
                <w:b/>
              </w:rPr>
            </w:pPr>
            <w:r>
              <w:rPr>
                <w:rFonts w:hint="eastAsia" w:ascii="宋体" w:hAnsi="宋体" w:cs="宋体"/>
                <w:b/>
              </w:rPr>
              <w:t>服务期</w:t>
            </w:r>
          </w:p>
        </w:tc>
        <w:tc>
          <w:tcPr>
            <w:tcW w:w="683" w:type="pct"/>
            <w:vAlign w:val="center"/>
          </w:tcPr>
          <w:p w14:paraId="4D25601F">
            <w:pPr>
              <w:snapToGrid w:val="0"/>
              <w:spacing w:line="360" w:lineRule="auto"/>
              <w:jc w:val="center"/>
              <w:rPr>
                <w:rFonts w:hint="eastAsia" w:ascii="宋体" w:hAnsi="宋体" w:cs="宋体"/>
                <w:b/>
              </w:rPr>
            </w:pPr>
            <w:r>
              <w:rPr>
                <w:rFonts w:hint="eastAsia" w:ascii="宋体" w:hAnsi="宋体" w:cs="宋体"/>
                <w:b/>
              </w:rPr>
              <w:t>备注</w:t>
            </w:r>
          </w:p>
        </w:tc>
      </w:tr>
      <w:tr w14:paraId="3B38F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trPr>
        <w:tc>
          <w:tcPr>
            <w:tcW w:w="248" w:type="pct"/>
            <w:vAlign w:val="center"/>
          </w:tcPr>
          <w:p w14:paraId="51509335">
            <w:pPr>
              <w:snapToGrid w:val="0"/>
              <w:spacing w:line="360" w:lineRule="auto"/>
              <w:jc w:val="center"/>
              <w:rPr>
                <w:rFonts w:hint="eastAsia" w:ascii="宋体" w:hAnsi="宋体" w:cs="宋体"/>
                <w:bCs/>
              </w:rPr>
            </w:pPr>
            <w:r>
              <w:rPr>
                <w:rFonts w:hint="eastAsia" w:ascii="宋体" w:hAnsi="宋体" w:cs="宋体"/>
                <w:bCs/>
              </w:rPr>
              <w:t>1</w:t>
            </w:r>
          </w:p>
        </w:tc>
        <w:tc>
          <w:tcPr>
            <w:tcW w:w="1133" w:type="pct"/>
            <w:vAlign w:val="center"/>
          </w:tcPr>
          <w:p w14:paraId="1B2C2B80">
            <w:pPr>
              <w:snapToGrid w:val="0"/>
              <w:spacing w:line="360" w:lineRule="auto"/>
              <w:jc w:val="center"/>
              <w:rPr>
                <w:rFonts w:hint="eastAsia" w:ascii="宋体" w:hAnsi="宋体" w:cs="宋体"/>
                <w:bCs/>
              </w:rPr>
            </w:pPr>
            <w:r>
              <w:rPr>
                <w:rFonts w:hint="eastAsia" w:ascii="宋体" w:hAnsi="宋体" w:cs="宋体"/>
                <w:szCs w:val="21"/>
              </w:rPr>
              <w:t>工艺大厦及蓝领公寓物业服务项目</w:t>
            </w:r>
          </w:p>
        </w:tc>
        <w:tc>
          <w:tcPr>
            <w:tcW w:w="1565" w:type="pct"/>
            <w:vAlign w:val="center"/>
          </w:tcPr>
          <w:p w14:paraId="088D9FC6">
            <w:pPr>
              <w:snapToGrid w:val="0"/>
              <w:spacing w:line="360" w:lineRule="auto"/>
              <w:jc w:val="center"/>
              <w:rPr>
                <w:rFonts w:hint="eastAsia" w:ascii="宋体" w:hAnsi="宋体" w:cs="宋体"/>
                <w:bCs/>
                <w:u w:val="single"/>
              </w:rPr>
            </w:pPr>
            <w:r>
              <w:rPr>
                <w:rFonts w:hint="eastAsia" w:ascii="宋体" w:hAnsi="宋体" w:cs="宋体"/>
                <w:bCs/>
              </w:rPr>
              <w:t>¥</w:t>
            </w:r>
            <w:r>
              <w:rPr>
                <w:rFonts w:hint="eastAsia" w:ascii="宋体" w:hAnsi="宋体" w:cs="宋体"/>
                <w:bCs/>
                <w:u w:val="single"/>
              </w:rPr>
              <w:t xml:space="preserve">              </w:t>
            </w:r>
            <w:r>
              <w:rPr>
                <w:rFonts w:hint="eastAsia" w:ascii="宋体" w:hAnsi="宋体" w:cs="宋体"/>
                <w:bCs/>
              </w:rPr>
              <w:t>元</w:t>
            </w:r>
          </w:p>
        </w:tc>
        <w:tc>
          <w:tcPr>
            <w:tcW w:w="682" w:type="pct"/>
            <w:vAlign w:val="center"/>
          </w:tcPr>
          <w:p w14:paraId="3C373357">
            <w:pPr>
              <w:snapToGrid w:val="0"/>
              <w:spacing w:line="360" w:lineRule="auto"/>
              <w:jc w:val="center"/>
              <w:rPr>
                <w:rFonts w:hint="eastAsia" w:ascii="宋体" w:hAnsi="宋体" w:cs="宋体"/>
                <w:bCs/>
              </w:rPr>
            </w:pPr>
          </w:p>
        </w:tc>
        <w:tc>
          <w:tcPr>
            <w:tcW w:w="685" w:type="pct"/>
            <w:vAlign w:val="center"/>
          </w:tcPr>
          <w:p w14:paraId="2CB9643A">
            <w:pPr>
              <w:spacing w:line="360" w:lineRule="auto"/>
              <w:jc w:val="center"/>
              <w:rPr>
                <w:rFonts w:hint="eastAsia" w:ascii="宋体" w:hAnsi="宋体" w:cs="宋体"/>
                <w:bCs/>
              </w:rPr>
            </w:pPr>
            <w:r>
              <w:rPr>
                <w:rFonts w:hint="eastAsia" w:ascii="宋体" w:hAnsi="宋体" w:cs="宋体"/>
                <w:spacing w:val="20"/>
                <w:szCs w:val="21"/>
              </w:rPr>
              <w:t>按照招标文件要求</w:t>
            </w:r>
          </w:p>
        </w:tc>
        <w:tc>
          <w:tcPr>
            <w:tcW w:w="683" w:type="pct"/>
            <w:vAlign w:val="center"/>
          </w:tcPr>
          <w:p w14:paraId="5F46D3D2">
            <w:pPr>
              <w:snapToGrid w:val="0"/>
              <w:spacing w:line="360" w:lineRule="auto"/>
              <w:jc w:val="center"/>
              <w:rPr>
                <w:rFonts w:hint="eastAsia" w:ascii="宋体" w:hAnsi="宋体" w:cs="宋体"/>
                <w:bCs/>
              </w:rPr>
            </w:pPr>
          </w:p>
        </w:tc>
      </w:tr>
    </w:tbl>
    <w:p w14:paraId="132D5F00">
      <w:pPr>
        <w:adjustRightInd w:val="0"/>
        <w:snapToGrid w:val="0"/>
        <w:spacing w:line="360" w:lineRule="auto"/>
        <w:ind w:firstLine="420" w:firstLineChars="200"/>
        <w:rPr>
          <w:rFonts w:hint="eastAsia" w:ascii="宋体" w:hAnsi="宋体" w:cs="宋体"/>
        </w:rPr>
      </w:pPr>
      <w:r>
        <w:rPr>
          <w:rFonts w:hint="eastAsia" w:ascii="宋体" w:hAnsi="宋体" w:cs="宋体"/>
        </w:rPr>
        <w:t>公开招标报价包括成本、人工费、服务费、交通费、管理费、食宿及其他完成所有服务内容所产生的全部费用。</w:t>
      </w:r>
    </w:p>
    <w:p w14:paraId="4EA24024">
      <w:pPr>
        <w:spacing w:line="360" w:lineRule="auto"/>
        <w:rPr>
          <w:rFonts w:hint="eastAsia" w:ascii="宋体" w:hAnsi="宋体" w:cs="宋体"/>
          <w:szCs w:val="21"/>
        </w:rPr>
      </w:pPr>
    </w:p>
    <w:p w14:paraId="4183874F">
      <w:pPr>
        <w:adjustRightInd w:val="0"/>
        <w:snapToGrid w:val="0"/>
        <w:spacing w:line="360" w:lineRule="auto"/>
        <w:ind w:firstLine="630" w:firstLineChars="300"/>
        <w:rPr>
          <w:rFonts w:hint="eastAsia" w:ascii="宋体" w:hAnsi="宋体" w:cs="宋体"/>
        </w:rPr>
      </w:pPr>
    </w:p>
    <w:p w14:paraId="6DEAC08E">
      <w:pPr>
        <w:adjustRightInd w:val="0"/>
        <w:snapToGrid w:val="0"/>
        <w:spacing w:line="360" w:lineRule="auto"/>
        <w:ind w:firstLine="420" w:firstLineChars="200"/>
        <w:rPr>
          <w:rFonts w:hint="eastAsia" w:ascii="宋体" w:hAnsi="宋体" w:cs="宋体"/>
        </w:rPr>
      </w:pPr>
      <w:r>
        <w:rPr>
          <w:rFonts w:hint="eastAsia" w:ascii="宋体" w:hAnsi="宋体" w:cs="宋体"/>
        </w:rPr>
        <w:t xml:space="preserve">供应商全称（电子签章）：   </w:t>
      </w:r>
    </w:p>
    <w:p w14:paraId="61EA0623">
      <w:pPr>
        <w:adjustRightInd w:val="0"/>
        <w:snapToGrid w:val="0"/>
        <w:spacing w:line="360" w:lineRule="auto"/>
        <w:ind w:firstLine="420" w:firstLineChars="200"/>
        <w:rPr>
          <w:rFonts w:hint="eastAsia" w:ascii="宋体" w:hAnsi="宋体" w:cs="宋体"/>
        </w:rPr>
      </w:pPr>
      <w:r>
        <w:rPr>
          <w:rFonts w:hint="eastAsia" w:ascii="宋体" w:hAnsi="宋体" w:cs="宋体"/>
        </w:rPr>
        <w:t xml:space="preserve">法定代表人（单位负责人）或授权代表（签字或盖章）：  </w:t>
      </w:r>
    </w:p>
    <w:p w14:paraId="69FA64F9">
      <w:pPr>
        <w:ind w:firstLine="422"/>
        <w:rPr>
          <w:rFonts w:hint="eastAsia" w:hAnsi="宋体" w:cs="Arial"/>
        </w:rPr>
        <w:sectPr>
          <w:pgSz w:w="11906" w:h="16838"/>
          <w:pgMar w:top="1247" w:right="1247" w:bottom="1247" w:left="1247" w:header="720" w:footer="720" w:gutter="0"/>
          <w:cols w:space="720" w:num="1"/>
          <w:titlePg/>
          <w:docGrid w:linePitch="286" w:charSpace="-3831"/>
        </w:sectPr>
      </w:pPr>
      <w:r>
        <w:rPr>
          <w:rFonts w:hint="eastAsia" w:ascii="宋体" w:hAnsi="宋体" w:cs="宋体"/>
        </w:rPr>
        <w:t>日期：</w:t>
      </w:r>
    </w:p>
    <w:p w14:paraId="460092C0">
      <w:pPr>
        <w:spacing w:line="360" w:lineRule="auto"/>
        <w:jc w:val="center"/>
        <w:rPr>
          <w:rFonts w:hint="eastAsia" w:ascii="宋体" w:hAnsi="宋体" w:cs="宋体"/>
        </w:rPr>
      </w:pPr>
      <w:r>
        <w:rPr>
          <w:rFonts w:hint="eastAsia" w:ascii="宋体" w:hAnsi="宋体" w:cs="宋体"/>
        </w:rPr>
        <w:t>封面</w:t>
      </w:r>
    </w:p>
    <w:p w14:paraId="1F0AB7FA">
      <w:pPr>
        <w:spacing w:line="360" w:lineRule="auto"/>
        <w:rPr>
          <w:rFonts w:hint="eastAsia" w:ascii="宋体" w:hAnsi="宋体" w:cs="宋体"/>
          <w:kern w:val="0"/>
          <w:sz w:val="28"/>
        </w:rPr>
      </w:pPr>
    </w:p>
    <w:p w14:paraId="7940BEB2">
      <w:pPr>
        <w:spacing w:line="360" w:lineRule="auto"/>
        <w:rPr>
          <w:rFonts w:hint="eastAsia" w:ascii="宋体" w:hAnsi="宋体" w:cs="宋体"/>
          <w:kern w:val="0"/>
          <w:sz w:val="28"/>
        </w:rPr>
      </w:pPr>
    </w:p>
    <w:p w14:paraId="43E09A71">
      <w:pPr>
        <w:spacing w:line="360" w:lineRule="auto"/>
        <w:ind w:left="1134" w:leftChars="540"/>
        <w:rPr>
          <w:rFonts w:hint="eastAsia" w:ascii="宋体" w:hAnsi="宋体" w:cs="宋体"/>
          <w:b/>
          <w:bCs/>
          <w:kern w:val="0"/>
          <w:sz w:val="32"/>
          <w:szCs w:val="32"/>
          <w:u w:val="single"/>
        </w:rPr>
      </w:pPr>
      <w:r>
        <w:rPr>
          <w:rFonts w:hint="eastAsia" w:ascii="宋体" w:hAnsi="宋体" w:cs="宋体"/>
          <w:kern w:val="0"/>
          <w:sz w:val="28"/>
        </w:rPr>
        <w:t>项目编号：</w:t>
      </w:r>
      <w:r>
        <w:rPr>
          <w:rFonts w:hint="eastAsia" w:ascii="宋体" w:hAnsi="宋体" w:cs="宋体"/>
          <w:kern w:val="0"/>
          <w:sz w:val="28"/>
          <w:u w:val="single"/>
        </w:rPr>
        <w:t xml:space="preserve">                                         </w:t>
      </w:r>
    </w:p>
    <w:p w14:paraId="1A91AA8F">
      <w:pPr>
        <w:spacing w:line="360" w:lineRule="auto"/>
        <w:ind w:left="1134" w:leftChars="540"/>
        <w:rPr>
          <w:rFonts w:hint="eastAsia" w:ascii="宋体" w:hAnsi="宋体" w:cs="宋体"/>
          <w:kern w:val="0"/>
          <w:sz w:val="28"/>
          <w:u w:val="single"/>
        </w:rPr>
      </w:pPr>
      <w:r>
        <w:rPr>
          <w:rFonts w:hint="eastAsia" w:ascii="宋体" w:hAnsi="宋体" w:cs="宋体"/>
          <w:kern w:val="0"/>
          <w:sz w:val="28"/>
        </w:rPr>
        <w:t>项目名称：</w:t>
      </w:r>
      <w:r>
        <w:rPr>
          <w:rFonts w:hint="eastAsia" w:ascii="宋体" w:hAnsi="宋体" w:cs="宋体"/>
          <w:kern w:val="0"/>
          <w:sz w:val="28"/>
          <w:u w:val="single"/>
        </w:rPr>
        <w:t xml:space="preserve">                                         </w:t>
      </w:r>
    </w:p>
    <w:p w14:paraId="6148EAB1">
      <w:pPr>
        <w:spacing w:line="360" w:lineRule="auto"/>
        <w:rPr>
          <w:rFonts w:hint="eastAsia" w:ascii="宋体" w:hAnsi="宋体" w:cs="宋体"/>
          <w:kern w:val="0"/>
          <w:sz w:val="24"/>
        </w:rPr>
      </w:pPr>
    </w:p>
    <w:p w14:paraId="456071BA">
      <w:pPr>
        <w:spacing w:line="360" w:lineRule="auto"/>
        <w:rPr>
          <w:rFonts w:hint="eastAsia" w:ascii="宋体" w:hAnsi="宋体" w:cs="宋体"/>
          <w:kern w:val="0"/>
          <w:sz w:val="24"/>
        </w:rPr>
      </w:pPr>
    </w:p>
    <w:p w14:paraId="1FF7B5DA">
      <w:pPr>
        <w:spacing w:line="360" w:lineRule="auto"/>
        <w:ind w:left="1134" w:leftChars="540"/>
        <w:rPr>
          <w:rFonts w:hint="eastAsia" w:ascii="宋体" w:hAnsi="宋体" w:cs="宋体"/>
          <w:kern w:val="0"/>
          <w:sz w:val="24"/>
        </w:rPr>
      </w:pPr>
    </w:p>
    <w:p w14:paraId="7D083865">
      <w:pPr>
        <w:spacing w:line="360" w:lineRule="auto"/>
        <w:ind w:left="1134" w:leftChars="540"/>
        <w:rPr>
          <w:rFonts w:hint="eastAsia" w:ascii="宋体" w:hAnsi="宋体" w:cs="宋体"/>
          <w:kern w:val="0"/>
          <w:sz w:val="24"/>
        </w:rPr>
      </w:pPr>
    </w:p>
    <w:p w14:paraId="3F68707B">
      <w:pPr>
        <w:spacing w:line="360" w:lineRule="auto"/>
        <w:jc w:val="center"/>
        <w:rPr>
          <w:rFonts w:hint="eastAsia" w:ascii="宋体" w:hAnsi="宋体" w:cs="宋体"/>
          <w:kern w:val="0"/>
          <w:sz w:val="72"/>
        </w:rPr>
      </w:pPr>
      <w:r>
        <w:rPr>
          <w:rFonts w:hint="eastAsia" w:ascii="宋体" w:hAnsi="宋体" w:cs="宋体"/>
          <w:kern w:val="0"/>
          <w:sz w:val="72"/>
        </w:rPr>
        <w:t>投 标 响 应 文 件</w:t>
      </w:r>
    </w:p>
    <w:p w14:paraId="24AFE6D7">
      <w:pPr>
        <w:spacing w:line="360" w:lineRule="auto"/>
        <w:jc w:val="center"/>
        <w:rPr>
          <w:rFonts w:hint="eastAsia" w:ascii="宋体" w:hAnsi="宋体" w:cs="宋体"/>
          <w:kern w:val="0"/>
          <w:sz w:val="32"/>
          <w:szCs w:val="32"/>
        </w:rPr>
      </w:pPr>
      <w:r>
        <w:rPr>
          <w:rFonts w:hint="eastAsia" w:ascii="宋体" w:hAnsi="宋体" w:cs="宋体"/>
          <w:kern w:val="0"/>
          <w:sz w:val="32"/>
          <w:szCs w:val="32"/>
        </w:rPr>
        <w:t>（商务技术文件）</w:t>
      </w:r>
    </w:p>
    <w:p w14:paraId="0B379CE0">
      <w:pPr>
        <w:spacing w:line="360" w:lineRule="auto"/>
        <w:ind w:left="1134" w:leftChars="540"/>
        <w:rPr>
          <w:rFonts w:hint="eastAsia" w:ascii="宋体" w:hAnsi="宋体" w:cs="宋体"/>
          <w:kern w:val="0"/>
          <w:szCs w:val="21"/>
        </w:rPr>
      </w:pPr>
    </w:p>
    <w:p w14:paraId="6F89FDE3">
      <w:pPr>
        <w:spacing w:line="360" w:lineRule="auto"/>
        <w:ind w:left="1134" w:leftChars="540"/>
        <w:rPr>
          <w:rFonts w:hint="eastAsia" w:ascii="宋体" w:hAnsi="宋体" w:cs="宋体"/>
          <w:kern w:val="0"/>
          <w:sz w:val="20"/>
        </w:rPr>
      </w:pPr>
    </w:p>
    <w:p w14:paraId="1BDDD65E">
      <w:pPr>
        <w:spacing w:line="360" w:lineRule="auto"/>
        <w:rPr>
          <w:rFonts w:hint="eastAsia" w:ascii="宋体" w:hAnsi="宋体" w:cs="宋体"/>
          <w:kern w:val="0"/>
          <w:sz w:val="20"/>
        </w:rPr>
      </w:pPr>
    </w:p>
    <w:p w14:paraId="28759304">
      <w:pPr>
        <w:spacing w:line="360" w:lineRule="auto"/>
        <w:ind w:left="1134" w:leftChars="540"/>
        <w:rPr>
          <w:rFonts w:hint="eastAsia" w:ascii="宋体" w:hAnsi="宋体" w:cs="宋体"/>
          <w:kern w:val="0"/>
          <w:sz w:val="20"/>
        </w:rPr>
      </w:pPr>
    </w:p>
    <w:p w14:paraId="4195C324">
      <w:pPr>
        <w:spacing w:line="360" w:lineRule="auto"/>
        <w:ind w:left="1134" w:leftChars="540"/>
        <w:rPr>
          <w:rFonts w:hint="eastAsia" w:ascii="宋体" w:hAnsi="宋体" w:cs="宋体"/>
          <w:kern w:val="0"/>
          <w:sz w:val="20"/>
        </w:rPr>
      </w:pPr>
    </w:p>
    <w:p w14:paraId="296C08E2">
      <w:pPr>
        <w:spacing w:line="360" w:lineRule="auto"/>
        <w:ind w:left="1134" w:leftChars="540"/>
        <w:rPr>
          <w:rFonts w:hint="eastAsia" w:ascii="宋体" w:hAnsi="宋体" w:cs="宋体"/>
          <w:kern w:val="0"/>
          <w:sz w:val="20"/>
        </w:rPr>
      </w:pPr>
    </w:p>
    <w:p w14:paraId="309D808C">
      <w:pPr>
        <w:spacing w:line="360" w:lineRule="auto"/>
        <w:ind w:left="1134" w:leftChars="540"/>
        <w:rPr>
          <w:rFonts w:hint="eastAsia" w:ascii="宋体" w:hAnsi="宋体" w:cs="宋体"/>
          <w:kern w:val="0"/>
          <w:sz w:val="20"/>
        </w:rPr>
      </w:pPr>
    </w:p>
    <w:p w14:paraId="2559486A">
      <w:pPr>
        <w:spacing w:line="360" w:lineRule="auto"/>
        <w:ind w:left="1134" w:leftChars="540"/>
        <w:rPr>
          <w:rFonts w:hint="eastAsia" w:ascii="宋体" w:hAnsi="宋体" w:cs="宋体"/>
          <w:kern w:val="0"/>
          <w:sz w:val="20"/>
        </w:rPr>
      </w:pPr>
    </w:p>
    <w:p w14:paraId="6D3BBDE8">
      <w:pPr>
        <w:spacing w:line="360" w:lineRule="auto"/>
        <w:ind w:left="1134" w:leftChars="540"/>
        <w:rPr>
          <w:rFonts w:hint="eastAsia" w:ascii="宋体" w:hAnsi="宋体" w:cs="宋体"/>
          <w:kern w:val="0"/>
          <w:sz w:val="20"/>
        </w:rPr>
      </w:pPr>
    </w:p>
    <w:p w14:paraId="27F15E5A">
      <w:pPr>
        <w:spacing w:line="360" w:lineRule="auto"/>
        <w:ind w:left="1134" w:leftChars="540"/>
        <w:rPr>
          <w:rFonts w:hint="eastAsia" w:ascii="宋体" w:hAnsi="宋体" w:cs="宋体"/>
          <w:kern w:val="0"/>
          <w:sz w:val="20"/>
        </w:rPr>
      </w:pPr>
    </w:p>
    <w:p w14:paraId="71BD59EA">
      <w:pPr>
        <w:spacing w:line="360" w:lineRule="auto"/>
        <w:ind w:left="1134" w:leftChars="540"/>
        <w:rPr>
          <w:rFonts w:hint="eastAsia" w:ascii="宋体" w:hAnsi="宋体" w:cs="宋体"/>
          <w:kern w:val="0"/>
          <w:sz w:val="28"/>
        </w:rPr>
      </w:pPr>
      <w:r>
        <w:rPr>
          <w:rFonts w:hint="eastAsia" w:ascii="宋体" w:hAnsi="宋体" w:cs="宋体"/>
          <w:kern w:val="0"/>
          <w:sz w:val="28"/>
        </w:rPr>
        <w:t>供应商：</w:t>
      </w:r>
      <w:r>
        <w:rPr>
          <w:rFonts w:hint="eastAsia" w:ascii="宋体" w:hAnsi="宋体" w:cs="宋体"/>
          <w:kern w:val="0"/>
          <w:sz w:val="28"/>
          <w:u w:val="single"/>
        </w:rPr>
        <w:t xml:space="preserve">                             </w:t>
      </w:r>
      <w:r>
        <w:rPr>
          <w:rFonts w:hint="eastAsia" w:ascii="宋体" w:hAnsi="宋体" w:cs="宋体"/>
          <w:kern w:val="0"/>
          <w:sz w:val="28"/>
        </w:rPr>
        <w:t>（电子签章）</w:t>
      </w:r>
    </w:p>
    <w:p w14:paraId="082F6132">
      <w:pPr>
        <w:spacing w:line="360" w:lineRule="auto"/>
        <w:ind w:left="1134" w:leftChars="540"/>
        <w:rPr>
          <w:rFonts w:hint="eastAsia" w:ascii="宋体" w:hAnsi="宋体" w:cs="宋体"/>
          <w:kern w:val="0"/>
          <w:sz w:val="28"/>
        </w:rPr>
      </w:pPr>
    </w:p>
    <w:p w14:paraId="1CB05FF5">
      <w:pPr>
        <w:spacing w:line="360" w:lineRule="auto"/>
        <w:ind w:firstLine="3108" w:firstLineChars="1110"/>
        <w:rPr>
          <w:rFonts w:hint="eastAsia" w:ascii="宋体" w:hAnsi="宋体" w:cs="宋体"/>
          <w:b/>
          <w:kern w:val="0"/>
          <w:sz w:val="30"/>
          <w:szCs w:val="30"/>
        </w:rPr>
      </w:pPr>
      <w:r>
        <w:rPr>
          <w:rFonts w:hint="eastAsia" w:ascii="宋体" w:hAnsi="宋体" w:cs="宋体"/>
          <w:kern w:val="0"/>
          <w:sz w:val="28"/>
          <w:u w:val="single"/>
        </w:rPr>
        <w:t xml:space="preserve">      </w:t>
      </w:r>
      <w:r>
        <w:rPr>
          <w:rFonts w:hint="eastAsia" w:ascii="宋体" w:hAnsi="宋体" w:cs="宋体"/>
          <w:kern w:val="0"/>
          <w:sz w:val="28"/>
        </w:rPr>
        <w:t>年</w:t>
      </w:r>
      <w:r>
        <w:rPr>
          <w:rFonts w:hint="eastAsia" w:ascii="宋体" w:hAnsi="宋体" w:cs="宋体"/>
          <w:kern w:val="0"/>
          <w:sz w:val="28"/>
          <w:u w:val="single"/>
        </w:rPr>
        <w:t xml:space="preserve">   </w:t>
      </w:r>
      <w:r>
        <w:rPr>
          <w:rFonts w:hint="eastAsia" w:ascii="宋体" w:hAnsi="宋体" w:cs="宋体"/>
          <w:kern w:val="0"/>
          <w:sz w:val="28"/>
        </w:rPr>
        <w:t>月</w:t>
      </w:r>
      <w:r>
        <w:rPr>
          <w:rFonts w:hint="eastAsia" w:ascii="宋体" w:hAnsi="宋体" w:cs="宋体"/>
          <w:kern w:val="0"/>
          <w:sz w:val="28"/>
          <w:u w:val="single"/>
        </w:rPr>
        <w:t xml:space="preserve">   </w:t>
      </w:r>
      <w:r>
        <w:rPr>
          <w:rFonts w:hint="eastAsia" w:ascii="宋体" w:hAnsi="宋体" w:cs="宋体"/>
          <w:kern w:val="0"/>
          <w:sz w:val="28"/>
        </w:rPr>
        <w:t>日</w:t>
      </w:r>
    </w:p>
    <w:p w14:paraId="355DF499">
      <w:pPr>
        <w:pStyle w:val="4"/>
        <w:ind w:firstLine="0" w:firstLineChars="0"/>
        <w:rPr>
          <w:rFonts w:hint="eastAsia" w:ascii="宋体" w:hAnsi="宋体" w:cs="宋体"/>
        </w:rPr>
      </w:pPr>
      <w:r>
        <w:rPr>
          <w:rFonts w:hint="eastAsia" w:ascii="宋体" w:hAnsi="宋体" w:cs="宋体"/>
          <w:b w:val="0"/>
          <w:kern w:val="0"/>
          <w:sz w:val="30"/>
          <w:szCs w:val="30"/>
        </w:rPr>
        <w:br w:type="page"/>
      </w:r>
      <w:bookmarkStart w:id="43" w:name="_Toc467745177"/>
      <w:bookmarkStart w:id="44" w:name="_Toc24260"/>
      <w:bookmarkStart w:id="45" w:name="_Toc12074"/>
      <w:bookmarkStart w:id="46" w:name="_Toc519160211"/>
      <w:bookmarkStart w:id="47" w:name="_Toc31980"/>
      <w:bookmarkStart w:id="48" w:name="_Toc23923"/>
      <w:bookmarkStart w:id="49" w:name="_Toc32152"/>
      <w:bookmarkStart w:id="50" w:name="_Toc2452"/>
      <w:r>
        <w:rPr>
          <w:rFonts w:hint="eastAsia" w:ascii="宋体" w:hAnsi="宋体" w:cs="宋体"/>
        </w:rPr>
        <w:t>一、</w:t>
      </w:r>
      <w:bookmarkEnd w:id="43"/>
      <w:bookmarkEnd w:id="44"/>
      <w:bookmarkEnd w:id="45"/>
      <w:bookmarkEnd w:id="46"/>
      <w:bookmarkEnd w:id="47"/>
      <w:r>
        <w:rPr>
          <w:rFonts w:hint="eastAsia" w:ascii="宋体" w:hAnsi="宋体" w:cs="宋体"/>
          <w:snapToGrid w:val="0"/>
          <w:kern w:val="0"/>
        </w:rPr>
        <w:t>法定代表人（单位负责人）资格证明书或附有法定代表人（单位负责人）资格证明书的法定代表人授权委托书</w:t>
      </w:r>
      <w:bookmarkEnd w:id="48"/>
      <w:bookmarkEnd w:id="49"/>
      <w:bookmarkEnd w:id="50"/>
      <w:r>
        <w:rPr>
          <w:rFonts w:hint="eastAsia" w:ascii="宋体" w:hAnsi="宋体" w:cs="宋体"/>
        </w:rPr>
        <w:t xml:space="preserve">  </w:t>
      </w:r>
    </w:p>
    <w:p w14:paraId="707D6D11">
      <w:pPr>
        <w:pStyle w:val="24"/>
        <w:adjustRightInd w:val="0"/>
        <w:snapToGrid w:val="0"/>
        <w:spacing w:line="360" w:lineRule="auto"/>
        <w:ind w:firstLine="643"/>
        <w:jc w:val="center"/>
        <w:rPr>
          <w:rFonts w:hint="eastAsia" w:hAnsi="宋体" w:cs="宋体"/>
          <w:b/>
          <w:bCs/>
          <w:sz w:val="32"/>
        </w:rPr>
      </w:pPr>
    </w:p>
    <w:p w14:paraId="16CE1D10">
      <w:pPr>
        <w:pStyle w:val="24"/>
        <w:adjustRightInd w:val="0"/>
        <w:snapToGrid w:val="0"/>
        <w:spacing w:line="360" w:lineRule="auto"/>
        <w:ind w:firstLine="643"/>
        <w:jc w:val="center"/>
        <w:rPr>
          <w:rFonts w:hint="eastAsia" w:hAnsi="宋体" w:cs="宋体"/>
          <w:b/>
          <w:bCs/>
          <w:sz w:val="32"/>
        </w:rPr>
      </w:pPr>
      <w:r>
        <w:rPr>
          <w:rFonts w:hint="eastAsia" w:hAnsi="宋体" w:cs="宋体"/>
          <w:b/>
          <w:bCs/>
          <w:sz w:val="32"/>
        </w:rPr>
        <w:t>法定代表人（单位负责人）资格证明书</w:t>
      </w:r>
    </w:p>
    <w:p w14:paraId="7C3DBA43">
      <w:pPr>
        <w:pStyle w:val="24"/>
        <w:adjustRightInd w:val="0"/>
        <w:spacing w:line="360" w:lineRule="auto"/>
        <w:ind w:firstLine="480" w:firstLineChars="229"/>
        <w:rPr>
          <w:rFonts w:hint="eastAsia" w:hAnsi="宋体" w:cs="宋体"/>
          <w:u w:val="single"/>
        </w:rPr>
      </w:pPr>
      <w:r>
        <w:rPr>
          <w:rFonts w:hint="eastAsia" w:hAnsi="宋体" w:cs="宋体"/>
          <w:u w:val="single"/>
        </w:rPr>
        <w:t>（采购人单位名称）：</w:t>
      </w:r>
    </w:p>
    <w:p w14:paraId="671F992B">
      <w:pPr>
        <w:pStyle w:val="24"/>
        <w:adjustRightInd w:val="0"/>
        <w:spacing w:line="360" w:lineRule="auto"/>
        <w:ind w:firstLine="480" w:firstLineChars="229"/>
        <w:rPr>
          <w:rFonts w:hint="eastAsia" w:hAnsi="宋体" w:cs="宋体"/>
          <w:u w:val="single"/>
        </w:rPr>
      </w:pPr>
    </w:p>
    <w:p w14:paraId="4243F823">
      <w:pPr>
        <w:pStyle w:val="24"/>
        <w:adjustRightInd w:val="0"/>
        <w:spacing w:line="360" w:lineRule="auto"/>
        <w:ind w:firstLine="482"/>
        <w:rPr>
          <w:rFonts w:hint="eastAsia" w:hAnsi="宋体" w:cs="宋体"/>
          <w:u w:val="single"/>
        </w:rPr>
      </w:pPr>
      <w:r>
        <w:rPr>
          <w:rFonts w:hint="eastAsia" w:hAnsi="宋体" w:cs="宋体"/>
          <w:u w:val="single"/>
        </w:rPr>
        <w:t>浙江万汇招标代理有限公司：</w:t>
      </w:r>
    </w:p>
    <w:p w14:paraId="449337AC">
      <w:pPr>
        <w:pStyle w:val="24"/>
        <w:adjustRightInd w:val="0"/>
        <w:spacing w:line="360" w:lineRule="auto"/>
        <w:ind w:firstLine="482"/>
        <w:rPr>
          <w:rFonts w:hint="eastAsia" w:hAnsi="宋体" w:cs="宋体"/>
          <w:u w:val="single"/>
        </w:rPr>
      </w:pPr>
    </w:p>
    <w:p w14:paraId="5ECB9CF8">
      <w:pPr>
        <w:pStyle w:val="20"/>
        <w:adjustRightInd w:val="0"/>
        <w:spacing w:before="0" w:line="360" w:lineRule="auto"/>
        <w:ind w:firstLine="420" w:firstLineChars="200"/>
        <w:rPr>
          <w:rFonts w:hint="eastAsia" w:hAnsi="宋体" w:cs="宋体"/>
          <w:snapToGrid w:val="0"/>
          <w:sz w:val="21"/>
          <w:szCs w:val="21"/>
        </w:rPr>
      </w:pPr>
      <w:r>
        <w:rPr>
          <w:rFonts w:hint="eastAsia" w:hAnsi="宋体" w:cs="宋体"/>
          <w:snapToGrid w:val="0"/>
          <w:sz w:val="21"/>
          <w:szCs w:val="21"/>
          <w:u w:val="single"/>
        </w:rPr>
        <w:t xml:space="preserve">     （姓名）    </w:t>
      </w:r>
      <w:r>
        <w:rPr>
          <w:rFonts w:hint="eastAsia" w:hAnsi="宋体" w:cs="宋体"/>
          <w:snapToGrid w:val="0"/>
          <w:sz w:val="21"/>
          <w:szCs w:val="21"/>
        </w:rPr>
        <w:t>系</w:t>
      </w:r>
      <w:r>
        <w:rPr>
          <w:rFonts w:hint="eastAsia" w:hAnsi="宋体" w:cs="宋体"/>
          <w:snapToGrid w:val="0"/>
          <w:sz w:val="21"/>
          <w:szCs w:val="21"/>
          <w:u w:val="single"/>
        </w:rPr>
        <w:t xml:space="preserve">  （单位名称）  </w:t>
      </w:r>
      <w:r>
        <w:rPr>
          <w:rFonts w:hint="eastAsia" w:hAnsi="宋体" w:cs="宋体"/>
          <w:snapToGrid w:val="0"/>
          <w:sz w:val="21"/>
          <w:szCs w:val="21"/>
        </w:rPr>
        <w:t>的法定代表人（单位负责人），</w:t>
      </w:r>
      <w:r>
        <w:rPr>
          <w:rFonts w:hint="eastAsia" w:hAnsi="宋体" w:cs="宋体"/>
          <w:snapToGrid w:val="0"/>
          <w:sz w:val="21"/>
          <w:szCs w:val="21"/>
          <w:u w:val="single"/>
        </w:rPr>
        <w:t xml:space="preserve">   （身份证号）     </w:t>
      </w:r>
      <w:r>
        <w:rPr>
          <w:rFonts w:hint="eastAsia" w:hAnsi="宋体" w:cs="宋体"/>
          <w:snapToGrid w:val="0"/>
          <w:sz w:val="21"/>
          <w:szCs w:val="21"/>
        </w:rPr>
        <w:t>。</w:t>
      </w:r>
    </w:p>
    <w:p w14:paraId="4451CDFB">
      <w:pPr>
        <w:pStyle w:val="20"/>
        <w:adjustRightInd w:val="0"/>
        <w:spacing w:before="0" w:line="360" w:lineRule="auto"/>
        <w:ind w:firstLine="420" w:firstLineChars="200"/>
        <w:rPr>
          <w:rFonts w:hint="eastAsia" w:hAnsi="宋体" w:cs="宋体"/>
          <w:snapToGrid w:val="0"/>
          <w:sz w:val="21"/>
          <w:szCs w:val="21"/>
        </w:rPr>
      </w:pPr>
      <w:r>
        <w:rPr>
          <w:rFonts w:hint="eastAsia" w:hAnsi="宋体" w:cs="宋体"/>
          <w:snapToGrid w:val="0"/>
          <w:sz w:val="21"/>
          <w:szCs w:val="21"/>
        </w:rPr>
        <w:t>特此证明。</w:t>
      </w:r>
    </w:p>
    <w:p w14:paraId="1157E1A4">
      <w:pPr>
        <w:pStyle w:val="20"/>
        <w:adjustRightInd w:val="0"/>
        <w:spacing w:before="0" w:line="360" w:lineRule="auto"/>
        <w:ind w:firstLine="420" w:firstLineChars="200"/>
        <w:rPr>
          <w:rFonts w:hint="eastAsia" w:hAnsi="宋体" w:cs="宋体"/>
          <w:snapToGrid w:val="0"/>
          <w:sz w:val="21"/>
          <w:szCs w:val="21"/>
        </w:rPr>
      </w:pPr>
      <w:r>
        <w:rPr>
          <w:rFonts w:hint="eastAsia" w:hAnsi="宋体" w:cs="宋体"/>
          <w:snapToGrid w:val="0"/>
          <w:sz w:val="21"/>
          <w:szCs w:val="21"/>
        </w:rPr>
        <w:t>供应商：（电子签章）</w:t>
      </w:r>
    </w:p>
    <w:p w14:paraId="737800AE">
      <w:pPr>
        <w:adjustRightInd w:val="0"/>
        <w:snapToGrid w:val="0"/>
        <w:spacing w:line="360" w:lineRule="auto"/>
        <w:ind w:firstLine="420" w:firstLineChars="200"/>
        <w:rPr>
          <w:rFonts w:hint="eastAsia" w:ascii="宋体" w:hAnsi="宋体" w:cs="宋体"/>
          <w:snapToGrid w:val="0"/>
          <w:kern w:val="0"/>
          <w:szCs w:val="21"/>
        </w:rPr>
      </w:pPr>
      <w:r>
        <w:rPr>
          <w:rFonts w:hint="eastAsia" w:ascii="宋体" w:hAnsi="宋体" w:cs="宋体"/>
          <w:snapToGrid w:val="0"/>
          <w:kern w:val="0"/>
          <w:szCs w:val="21"/>
        </w:rPr>
        <w:t>日期：</w:t>
      </w:r>
      <w:r>
        <w:rPr>
          <w:rFonts w:hint="eastAsia" w:ascii="宋体" w:hAnsi="宋体" w:cs="宋体"/>
          <w:snapToGrid w:val="0"/>
          <w:kern w:val="0"/>
          <w:szCs w:val="21"/>
          <w:u w:val="single"/>
        </w:rPr>
        <w:t xml:space="preserve">      </w:t>
      </w:r>
      <w:r>
        <w:rPr>
          <w:rFonts w:hint="eastAsia" w:ascii="宋体" w:hAnsi="宋体" w:cs="宋体"/>
          <w:snapToGrid w:val="0"/>
          <w:kern w:val="0"/>
          <w:szCs w:val="21"/>
        </w:rPr>
        <w:t>年</w:t>
      </w:r>
      <w:r>
        <w:rPr>
          <w:rFonts w:hint="eastAsia" w:ascii="宋体" w:hAnsi="宋体" w:cs="宋体"/>
          <w:snapToGrid w:val="0"/>
          <w:kern w:val="0"/>
          <w:szCs w:val="21"/>
          <w:u w:val="single"/>
        </w:rPr>
        <w:t xml:space="preserve">    </w:t>
      </w:r>
      <w:r>
        <w:rPr>
          <w:rFonts w:hint="eastAsia" w:ascii="宋体" w:hAnsi="宋体" w:cs="宋体"/>
          <w:snapToGrid w:val="0"/>
          <w:kern w:val="0"/>
          <w:szCs w:val="21"/>
        </w:rPr>
        <w:t>月</w:t>
      </w:r>
      <w:r>
        <w:rPr>
          <w:rFonts w:hint="eastAsia" w:ascii="宋体" w:hAnsi="宋体" w:cs="宋体"/>
          <w:snapToGrid w:val="0"/>
          <w:kern w:val="0"/>
          <w:szCs w:val="21"/>
          <w:u w:val="single"/>
        </w:rPr>
        <w:t xml:space="preserve">     </w:t>
      </w:r>
      <w:r>
        <w:rPr>
          <w:rFonts w:hint="eastAsia" w:ascii="宋体" w:hAnsi="宋体" w:cs="宋体"/>
          <w:snapToGrid w:val="0"/>
          <w:kern w:val="0"/>
          <w:szCs w:val="21"/>
        </w:rPr>
        <w:t>日</w:t>
      </w:r>
    </w:p>
    <w:p w14:paraId="5DBF0493">
      <w:pPr>
        <w:adjustRightInd w:val="0"/>
        <w:snapToGrid w:val="0"/>
        <w:spacing w:line="360" w:lineRule="auto"/>
        <w:ind w:firstLine="420" w:firstLineChars="200"/>
        <w:rPr>
          <w:rFonts w:hint="eastAsia" w:ascii="宋体" w:hAnsi="宋体" w:cs="宋体"/>
          <w:snapToGrid w:val="0"/>
          <w:kern w:val="0"/>
          <w:szCs w:val="21"/>
        </w:rPr>
      </w:pPr>
      <w:r>
        <w:rPr>
          <w:rFonts w:hint="eastAsia" w:ascii="宋体" w:hAnsi="宋体" w:cs="宋体"/>
          <w:snapToGrid w:val="0"/>
          <w:kern w:val="0"/>
          <w:szCs w:val="21"/>
        </w:rPr>
        <w:t>附：</w:t>
      </w:r>
    </w:p>
    <w:p w14:paraId="041F74DD">
      <w:pPr>
        <w:adjustRightInd w:val="0"/>
        <w:snapToGrid w:val="0"/>
        <w:spacing w:line="360" w:lineRule="auto"/>
        <w:ind w:firstLine="420" w:firstLineChars="200"/>
        <w:rPr>
          <w:rFonts w:hint="eastAsia" w:ascii="宋体" w:hAnsi="宋体" w:cs="宋体"/>
          <w:snapToGrid w:val="0"/>
          <w:kern w:val="0"/>
          <w:szCs w:val="21"/>
        </w:rPr>
      </w:pPr>
      <w:r>
        <w:rPr>
          <w:rFonts w:hint="eastAsia" w:ascii="宋体" w:hAnsi="宋体" w:cs="宋体"/>
          <w:snapToGrid w:val="0"/>
          <w:kern w:val="0"/>
          <w:szCs w:val="21"/>
        </w:rPr>
        <w:t>法定代表人（单位负责人）联系方式及身份证复印件（正反面）</w:t>
      </w:r>
    </w:p>
    <w:p w14:paraId="45D3069F">
      <w:pPr>
        <w:adjustRightInd w:val="0"/>
        <w:snapToGrid w:val="0"/>
        <w:spacing w:line="360" w:lineRule="auto"/>
        <w:ind w:firstLine="422" w:firstLineChars="200"/>
        <w:rPr>
          <w:rFonts w:hint="eastAsia" w:ascii="宋体" w:hAnsi="宋体" w:cs="宋体"/>
          <w:b/>
          <w:snapToGrid w:val="0"/>
          <w:kern w:val="0"/>
          <w:szCs w:val="21"/>
        </w:rPr>
      </w:pPr>
    </w:p>
    <w:p w14:paraId="4BB1CE6A">
      <w:pPr>
        <w:adjustRightInd w:val="0"/>
        <w:snapToGrid w:val="0"/>
        <w:spacing w:line="360" w:lineRule="auto"/>
        <w:rPr>
          <w:rFonts w:hint="eastAsia" w:ascii="宋体" w:hAnsi="宋体" w:cs="宋体"/>
          <w:b/>
          <w:snapToGrid w:val="0"/>
          <w:kern w:val="0"/>
          <w:szCs w:val="21"/>
        </w:rPr>
      </w:pPr>
    </w:p>
    <w:p w14:paraId="7F488B60">
      <w:pPr>
        <w:adjustRightInd w:val="0"/>
        <w:snapToGrid w:val="0"/>
        <w:spacing w:line="360" w:lineRule="auto"/>
        <w:ind w:firstLine="422" w:firstLineChars="200"/>
        <w:rPr>
          <w:rFonts w:hint="eastAsia" w:ascii="宋体" w:hAnsi="宋体" w:cs="宋体"/>
          <w:b/>
          <w:snapToGrid w:val="0"/>
          <w:kern w:val="0"/>
          <w:szCs w:val="21"/>
        </w:rPr>
      </w:pPr>
    </w:p>
    <w:p w14:paraId="1D17DE09">
      <w:pPr>
        <w:adjustRightInd w:val="0"/>
        <w:snapToGrid w:val="0"/>
        <w:spacing w:line="360" w:lineRule="auto"/>
        <w:ind w:firstLine="422" w:firstLineChars="200"/>
        <w:rPr>
          <w:rFonts w:hint="eastAsia" w:ascii="宋体" w:hAnsi="宋体" w:cs="宋体"/>
          <w:b/>
          <w:snapToGrid w:val="0"/>
          <w:kern w:val="0"/>
          <w:szCs w:val="21"/>
        </w:rPr>
      </w:pPr>
      <w:r>
        <w:rPr>
          <w:rFonts w:hint="eastAsia" w:ascii="宋体" w:hAnsi="宋体" w:cs="宋体"/>
          <w:b/>
          <w:snapToGrid w:val="0"/>
          <w:kern w:val="0"/>
          <w:szCs w:val="21"/>
        </w:rPr>
        <w:t>注：法定代表人（单位负责人）直接签署响应文件并参加公开招标的，在响应文件中出具此资格证明书及身份证复印件。</w:t>
      </w:r>
    </w:p>
    <w:p w14:paraId="37ADB1FF">
      <w:pPr>
        <w:adjustRightInd w:val="0"/>
        <w:snapToGrid w:val="0"/>
        <w:spacing w:line="360" w:lineRule="auto"/>
        <w:ind w:firstLine="420" w:firstLineChars="200"/>
        <w:rPr>
          <w:rFonts w:hint="eastAsia" w:ascii="宋体" w:hAnsi="宋体" w:cs="宋体"/>
        </w:rPr>
      </w:pPr>
    </w:p>
    <w:p w14:paraId="1D925C5B">
      <w:pPr>
        <w:pStyle w:val="24"/>
        <w:adjustRightInd w:val="0"/>
        <w:snapToGrid w:val="0"/>
        <w:spacing w:line="360" w:lineRule="auto"/>
        <w:ind w:firstLine="643"/>
        <w:jc w:val="center"/>
        <w:rPr>
          <w:rFonts w:hint="eastAsia" w:hAnsi="宋体" w:cs="宋体"/>
          <w:b/>
          <w:bCs/>
          <w:sz w:val="32"/>
        </w:rPr>
      </w:pPr>
      <w:r>
        <w:rPr>
          <w:rFonts w:hint="eastAsia" w:hAnsi="宋体" w:cs="宋体"/>
          <w:b/>
          <w:bCs/>
          <w:sz w:val="32"/>
        </w:rPr>
        <w:br w:type="page"/>
      </w:r>
      <w:r>
        <w:rPr>
          <w:rFonts w:hint="eastAsia" w:hAnsi="宋体" w:cs="宋体"/>
          <w:b/>
          <w:bCs/>
          <w:sz w:val="32"/>
        </w:rPr>
        <w:t>法定代表人（单位负责人）授权委托书</w:t>
      </w:r>
    </w:p>
    <w:p w14:paraId="12EDC4EF">
      <w:pPr>
        <w:pStyle w:val="24"/>
        <w:adjustRightInd w:val="0"/>
        <w:spacing w:line="360" w:lineRule="auto"/>
        <w:ind w:firstLine="420" w:firstLineChars="200"/>
        <w:rPr>
          <w:rFonts w:hint="eastAsia" w:hAnsi="宋体" w:cs="宋体"/>
          <w:u w:val="single"/>
        </w:rPr>
      </w:pPr>
      <w:r>
        <w:rPr>
          <w:rFonts w:hint="eastAsia" w:hAnsi="宋体" w:cs="宋体"/>
          <w:u w:val="single"/>
        </w:rPr>
        <w:t>（采购人单位名称）：</w:t>
      </w:r>
    </w:p>
    <w:p w14:paraId="46A8CF4E">
      <w:pPr>
        <w:pStyle w:val="24"/>
        <w:adjustRightInd w:val="0"/>
        <w:spacing w:line="360" w:lineRule="auto"/>
        <w:ind w:firstLine="420" w:firstLineChars="200"/>
        <w:rPr>
          <w:rFonts w:hint="eastAsia" w:hAnsi="宋体" w:cs="宋体"/>
          <w:u w:val="single"/>
        </w:rPr>
      </w:pPr>
      <w:r>
        <w:rPr>
          <w:rFonts w:hint="eastAsia" w:hAnsi="宋体" w:cs="宋体"/>
          <w:u w:val="single"/>
        </w:rPr>
        <w:t>浙江万汇招标代理有限公司：</w:t>
      </w:r>
    </w:p>
    <w:p w14:paraId="5525ABF1">
      <w:pPr>
        <w:pStyle w:val="24"/>
        <w:spacing w:line="360" w:lineRule="auto"/>
        <w:ind w:firstLine="420" w:firstLineChars="200"/>
        <w:rPr>
          <w:rFonts w:hint="eastAsia" w:hAnsi="宋体" w:cs="宋体"/>
        </w:rPr>
      </w:pPr>
      <w:r>
        <w:rPr>
          <w:rFonts w:hint="eastAsia" w:hAnsi="宋体" w:cs="宋体"/>
        </w:rPr>
        <w:t>我以</w:t>
      </w:r>
      <w:r>
        <w:rPr>
          <w:rFonts w:hint="eastAsia" w:hAnsi="宋体" w:cs="宋体"/>
          <w:u w:val="single"/>
        </w:rPr>
        <w:t xml:space="preserve">        （供应商全称）    </w:t>
      </w:r>
      <w:r>
        <w:rPr>
          <w:rFonts w:hint="eastAsia" w:hAnsi="宋体" w:cs="宋体"/>
        </w:rPr>
        <w:t>法定代表人（单位负责人）的身份授权</w:t>
      </w:r>
      <w:r>
        <w:rPr>
          <w:rFonts w:hint="eastAsia" w:hAnsi="宋体" w:cs="宋体"/>
          <w:u w:val="single"/>
        </w:rPr>
        <w:t>（全权代表姓名）</w:t>
      </w:r>
      <w:r>
        <w:rPr>
          <w:rFonts w:hint="eastAsia" w:hAnsi="宋体" w:cs="宋体"/>
        </w:rPr>
        <w:t>，为我单位的全权代表，参加贵处组织的</w:t>
      </w:r>
      <w:r>
        <w:rPr>
          <w:rFonts w:hint="eastAsia" w:hAnsi="宋体" w:cs="宋体"/>
          <w:u w:val="single"/>
        </w:rPr>
        <w:t xml:space="preserve">  （项目名称） </w:t>
      </w:r>
      <w:r>
        <w:rPr>
          <w:rFonts w:hint="eastAsia" w:hAnsi="宋体" w:cs="宋体"/>
        </w:rPr>
        <w:t>（</w:t>
      </w:r>
      <w:r>
        <w:rPr>
          <w:rFonts w:hint="eastAsia" w:hAnsi="宋体" w:cs="宋体"/>
          <w:u w:val="single"/>
        </w:rPr>
        <w:t>项目编号</w:t>
      </w:r>
      <w:r>
        <w:rPr>
          <w:rFonts w:hint="eastAsia" w:hAnsi="宋体" w:cs="宋体"/>
        </w:rPr>
        <w:t>） 的采购，签署本项目相关响应文件并全权处理采购活动中的一切事宜。我单位承认全权代表做出的与本项目采购活动有关的全部行为。</w:t>
      </w:r>
    </w:p>
    <w:p w14:paraId="214216C4">
      <w:pPr>
        <w:pStyle w:val="24"/>
        <w:spacing w:line="360" w:lineRule="auto"/>
        <w:ind w:firstLine="420" w:firstLineChars="200"/>
        <w:rPr>
          <w:rFonts w:hint="eastAsia" w:hAnsi="宋体" w:cs="宋体"/>
        </w:rPr>
      </w:pPr>
      <w:r>
        <w:rPr>
          <w:rFonts w:hint="eastAsia" w:hAnsi="宋体" w:cs="宋体"/>
        </w:rPr>
        <w:t>供应商全称（电子印章）：</w:t>
      </w:r>
    </w:p>
    <w:p w14:paraId="7F702B5A">
      <w:pPr>
        <w:pStyle w:val="24"/>
        <w:spacing w:line="360" w:lineRule="auto"/>
        <w:ind w:firstLine="420" w:firstLineChars="200"/>
        <w:rPr>
          <w:rFonts w:hint="eastAsia" w:hAnsi="宋体" w:cs="宋体"/>
        </w:rPr>
      </w:pPr>
      <w:r>
        <w:rPr>
          <w:rFonts w:hint="eastAsia" w:hAnsi="宋体" w:cs="宋体"/>
        </w:rPr>
        <w:t>法定代表人（签字或盖章）：</w:t>
      </w:r>
    </w:p>
    <w:p w14:paraId="0D3C06D9">
      <w:pPr>
        <w:pStyle w:val="24"/>
        <w:spacing w:line="360" w:lineRule="auto"/>
        <w:ind w:firstLine="420" w:firstLineChars="200"/>
        <w:rPr>
          <w:rFonts w:hint="eastAsia" w:hAnsi="宋体" w:cs="宋体"/>
        </w:rPr>
      </w:pPr>
      <w:r>
        <w:rPr>
          <w:rFonts w:hint="eastAsia" w:hAnsi="宋体" w:cs="宋体"/>
        </w:rPr>
        <w:t>电话：</w:t>
      </w:r>
    </w:p>
    <w:p w14:paraId="52DF5CB7">
      <w:pPr>
        <w:pStyle w:val="24"/>
        <w:spacing w:line="360" w:lineRule="auto"/>
        <w:ind w:firstLine="420" w:firstLineChars="200"/>
        <w:rPr>
          <w:rFonts w:hint="eastAsia" w:hAnsi="宋体" w:cs="宋体"/>
        </w:rPr>
      </w:pPr>
      <w:r>
        <w:rPr>
          <w:rFonts w:hint="eastAsia" w:hAnsi="宋体" w:cs="宋体"/>
        </w:rPr>
        <w:t>日期：</w:t>
      </w:r>
    </w:p>
    <w:p w14:paraId="5DF4C6EC">
      <w:pPr>
        <w:pStyle w:val="24"/>
        <w:spacing w:line="360" w:lineRule="auto"/>
        <w:ind w:firstLine="480"/>
        <w:rPr>
          <w:rFonts w:hint="eastAsia" w:hAnsi="宋体" w:cs="宋体"/>
        </w:rPr>
      </w:pPr>
      <w:r>
        <w:rPr>
          <w:rFonts w:hint="eastAsia" w:hAnsi="宋体" w:cs="宋体"/>
        </w:rPr>
        <w:t>附：</w:t>
      </w:r>
    </w:p>
    <w:p w14:paraId="128041E6">
      <w:pPr>
        <w:pStyle w:val="24"/>
        <w:spacing w:line="360" w:lineRule="auto"/>
        <w:ind w:firstLine="480"/>
        <w:rPr>
          <w:rFonts w:hint="eastAsia" w:hAnsi="宋体" w:cs="宋体"/>
        </w:rPr>
      </w:pPr>
      <w:r>
        <w:rPr>
          <w:rFonts w:hint="eastAsia" w:hAnsi="宋体" w:cs="宋体"/>
        </w:rPr>
        <w:t>全权代表姓名：                职  务：         电  话：</w:t>
      </w:r>
    </w:p>
    <w:p w14:paraId="5D6CD930">
      <w:pPr>
        <w:spacing w:line="360" w:lineRule="auto"/>
        <w:ind w:firstLine="422" w:firstLineChars="200"/>
        <w:rPr>
          <w:rFonts w:hint="eastAsia" w:ascii="宋体" w:hAnsi="宋体" w:cs="宋体"/>
          <w:b/>
        </w:rPr>
      </w:pPr>
      <w:r>
        <w:rPr>
          <w:rFonts w:hint="eastAsia" w:ascii="宋体" w:hAnsi="宋体" w:cs="宋体"/>
          <w:b/>
        </w:rPr>
        <w:t>全权代表身份证复印件（正反面）：</w:t>
      </w:r>
    </w:p>
    <w:p w14:paraId="33D4EEF7">
      <w:pPr>
        <w:spacing w:line="360" w:lineRule="auto"/>
        <w:ind w:firstLine="422" w:firstLineChars="200"/>
        <w:rPr>
          <w:rFonts w:hint="eastAsia" w:ascii="宋体" w:hAnsi="宋体" w:cs="宋体"/>
          <w:b/>
        </w:rPr>
      </w:pPr>
    </w:p>
    <w:p w14:paraId="0AE03C1F">
      <w:pPr>
        <w:spacing w:line="360" w:lineRule="auto"/>
        <w:ind w:firstLine="422" w:firstLineChars="200"/>
        <w:rPr>
          <w:rFonts w:hint="eastAsia" w:ascii="宋体" w:hAnsi="宋体" w:cs="宋体"/>
          <w:b/>
        </w:rPr>
      </w:pPr>
      <w:r>
        <w:rPr>
          <w:rFonts w:hint="eastAsia" w:ascii="宋体" w:hAnsi="宋体" w:cs="宋体"/>
          <w:b/>
        </w:rPr>
        <w:t>注：法定代表人（单位负责人）授权其公司员工签署及参加公开招标的，在响应文件中同时出具法定代表人（单位负责人）资格证明书及此授权书，并附身份证复印件（正反面）。</w:t>
      </w:r>
    </w:p>
    <w:p w14:paraId="576F2230">
      <w:pPr>
        <w:spacing w:line="360" w:lineRule="auto"/>
        <w:ind w:firstLine="422" w:firstLineChars="200"/>
        <w:rPr>
          <w:rFonts w:hint="eastAsia" w:ascii="宋体" w:hAnsi="宋体" w:cs="宋体"/>
          <w:b/>
        </w:rPr>
      </w:pPr>
      <w:r>
        <w:rPr>
          <w:rFonts w:hint="eastAsia" w:ascii="宋体" w:hAnsi="宋体" w:cs="宋体"/>
          <w:b/>
        </w:rPr>
        <w:t>响应文件格式中所提到的法定代表人（单位负责人）或授权代表是指以上两文件确定的签署人员。</w:t>
      </w:r>
    </w:p>
    <w:p w14:paraId="5D7F7CBA">
      <w:pPr>
        <w:spacing w:line="360" w:lineRule="auto"/>
        <w:ind w:firstLine="422" w:firstLineChars="200"/>
        <w:rPr>
          <w:rFonts w:hint="eastAsia" w:ascii="宋体" w:hAnsi="宋体" w:cs="宋体"/>
          <w:b/>
        </w:rPr>
      </w:pPr>
      <w:r>
        <w:rPr>
          <w:rFonts w:hint="eastAsia" w:ascii="宋体" w:hAnsi="宋体" w:cs="宋体"/>
          <w:b/>
        </w:rPr>
        <w:t>如参加开启并在开评审过程中签署文件的人员与法定代表人（单位负责人）或授权代表不一致，须另行提供授权书。</w:t>
      </w:r>
    </w:p>
    <w:p w14:paraId="7EE0DDFB">
      <w:pPr>
        <w:pStyle w:val="24"/>
        <w:adjustRightInd w:val="0"/>
        <w:snapToGrid w:val="0"/>
        <w:spacing w:line="360" w:lineRule="auto"/>
        <w:ind w:firstLine="643"/>
        <w:jc w:val="center"/>
        <w:rPr>
          <w:rFonts w:hint="eastAsia" w:hAnsi="宋体" w:cs="宋体"/>
          <w:b/>
          <w:bCs/>
          <w:sz w:val="32"/>
        </w:rPr>
      </w:pPr>
      <w:r>
        <w:rPr>
          <w:rFonts w:hint="eastAsia" w:hAnsi="宋体" w:cs="宋体"/>
        </w:rPr>
        <w:br w:type="page"/>
      </w:r>
      <w:bookmarkStart w:id="51" w:name="_Toc28567"/>
      <w:bookmarkStart w:id="52" w:name="_Toc7519"/>
    </w:p>
    <w:p w14:paraId="13B0F467">
      <w:pPr>
        <w:pStyle w:val="4"/>
        <w:ind w:firstLine="422"/>
      </w:pPr>
      <w:bookmarkStart w:id="53" w:name="_Toc6461"/>
      <w:r>
        <w:rPr>
          <w:rFonts w:hint="eastAsia"/>
        </w:rPr>
        <w:t>二、廉洁承诺书</w:t>
      </w:r>
      <w:bookmarkEnd w:id="51"/>
      <w:bookmarkEnd w:id="52"/>
      <w:bookmarkEnd w:id="53"/>
    </w:p>
    <w:p w14:paraId="069CBD9B">
      <w:pPr>
        <w:spacing w:line="360" w:lineRule="auto"/>
        <w:jc w:val="center"/>
        <w:rPr>
          <w:rFonts w:hint="eastAsia" w:ascii="宋体" w:hAnsi="宋体" w:cs="宋体"/>
          <w:b/>
          <w:sz w:val="32"/>
          <w:szCs w:val="32"/>
        </w:rPr>
      </w:pPr>
      <w:r>
        <w:rPr>
          <w:rFonts w:hint="eastAsia" w:ascii="宋体" w:hAnsi="宋体" w:cs="宋体"/>
          <w:b/>
          <w:sz w:val="32"/>
          <w:szCs w:val="32"/>
        </w:rPr>
        <w:t>廉洁承诺书</w:t>
      </w:r>
    </w:p>
    <w:p w14:paraId="4622A0E6">
      <w:pPr>
        <w:spacing w:line="360" w:lineRule="auto"/>
        <w:rPr>
          <w:rFonts w:hint="eastAsia" w:ascii="宋体" w:hAnsi="宋体" w:cs="宋体"/>
        </w:rPr>
      </w:pPr>
      <w:r>
        <w:rPr>
          <w:rFonts w:hint="eastAsia" w:ascii="宋体" w:hAnsi="宋体" w:cs="宋体"/>
        </w:rPr>
        <w:t>致：浙江艺诚物业管理有限公司：</w:t>
      </w:r>
    </w:p>
    <w:p w14:paraId="39837D3C">
      <w:pPr>
        <w:spacing w:line="360" w:lineRule="auto"/>
        <w:ind w:firstLine="420" w:firstLineChars="200"/>
        <w:rPr>
          <w:rFonts w:hint="eastAsia" w:ascii="宋体" w:hAnsi="宋体" w:cs="宋体"/>
        </w:rPr>
      </w:pPr>
      <w:r>
        <w:rPr>
          <w:rFonts w:hint="eastAsia" w:ascii="宋体" w:hAnsi="宋体" w:cs="宋体"/>
        </w:rPr>
        <w:t xml:space="preserve">我单位响应你单位项目采购要求参加响应。在这次响应过程中和成交后，我们将严格遵守国家法律法规要求，并郑重承诺： </w:t>
      </w:r>
    </w:p>
    <w:p w14:paraId="04682CEF">
      <w:pPr>
        <w:spacing w:line="360" w:lineRule="auto"/>
        <w:ind w:firstLine="420" w:firstLineChars="200"/>
        <w:rPr>
          <w:rFonts w:hint="eastAsia" w:ascii="宋体" w:hAnsi="宋体" w:cs="宋体"/>
        </w:rPr>
      </w:pPr>
      <w:r>
        <w:rPr>
          <w:rFonts w:hint="eastAsia" w:ascii="宋体" w:hAnsi="宋体" w:cs="宋体"/>
        </w:rPr>
        <w:t xml:space="preserve">一、不向本项目有关人员及部门赠送礼金礼物、有价证券、回扣以及中介费、介绍费、咨询费等好处费； </w:t>
      </w:r>
    </w:p>
    <w:p w14:paraId="2B9080E7">
      <w:pPr>
        <w:spacing w:line="360" w:lineRule="auto"/>
        <w:ind w:firstLine="420" w:firstLineChars="200"/>
        <w:rPr>
          <w:rFonts w:hint="eastAsia" w:ascii="宋体" w:hAnsi="宋体" w:cs="宋体"/>
        </w:rPr>
      </w:pPr>
      <w:r>
        <w:rPr>
          <w:rFonts w:hint="eastAsia" w:ascii="宋体" w:hAnsi="宋体" w:cs="宋体"/>
        </w:rPr>
        <w:t>二、不为本项目有关人员及部门报销应由你方单位或个人支付的费用；</w:t>
      </w:r>
    </w:p>
    <w:p w14:paraId="61ADDA9C">
      <w:pPr>
        <w:spacing w:line="360" w:lineRule="auto"/>
        <w:ind w:firstLine="420" w:firstLineChars="200"/>
        <w:rPr>
          <w:rFonts w:hint="eastAsia" w:ascii="宋体" w:hAnsi="宋体" w:cs="宋体"/>
        </w:rPr>
      </w:pPr>
      <w:r>
        <w:rPr>
          <w:rFonts w:hint="eastAsia" w:ascii="宋体" w:hAnsi="宋体" w:cs="宋体"/>
        </w:rPr>
        <w:t xml:space="preserve">三、不向本项目有关人员及部门提供有可能影响公正的宴请和健身娱乐等活动； </w:t>
      </w:r>
    </w:p>
    <w:p w14:paraId="65A87174">
      <w:pPr>
        <w:spacing w:line="360" w:lineRule="auto"/>
        <w:ind w:firstLine="420" w:firstLineChars="200"/>
        <w:rPr>
          <w:rFonts w:hint="eastAsia" w:ascii="宋体" w:hAnsi="宋体" w:cs="宋体"/>
        </w:rPr>
      </w:pPr>
      <w:r>
        <w:rPr>
          <w:rFonts w:hint="eastAsia" w:ascii="宋体" w:hAnsi="宋体" w:cs="宋体"/>
        </w:rPr>
        <w:t xml:space="preserve">四、不为本项目有关人员及部门出国（境）、旅游等提供资助； </w:t>
      </w:r>
    </w:p>
    <w:p w14:paraId="0A1566BB">
      <w:pPr>
        <w:spacing w:line="360" w:lineRule="auto"/>
        <w:ind w:firstLine="420" w:firstLineChars="200"/>
        <w:rPr>
          <w:rFonts w:hint="eastAsia" w:ascii="宋体" w:hAnsi="宋体" w:cs="宋体"/>
        </w:rPr>
      </w:pPr>
      <w:r>
        <w:rPr>
          <w:rFonts w:hint="eastAsia" w:ascii="宋体" w:hAnsi="宋体" w:cs="宋体"/>
        </w:rPr>
        <w:t xml:space="preserve">五、不为本项目有关人员个人装修住房、婚丧嫁娶、配偶子女工作安排等提供好处； </w:t>
      </w:r>
    </w:p>
    <w:p w14:paraId="7212C383">
      <w:pPr>
        <w:spacing w:line="360" w:lineRule="auto"/>
        <w:ind w:firstLine="420" w:firstLineChars="200"/>
        <w:rPr>
          <w:rFonts w:hint="eastAsia" w:ascii="宋体" w:hAnsi="宋体" w:cs="宋体"/>
        </w:rPr>
      </w:pPr>
      <w:r>
        <w:rPr>
          <w:rFonts w:hint="eastAsia" w:ascii="宋体" w:hAnsi="宋体" w:cs="宋体"/>
        </w:rPr>
        <w:t>六、严格遵守民法典等法律，诚实守信，合法经营，坚决抵制各种违法违纪行为。</w:t>
      </w:r>
    </w:p>
    <w:p w14:paraId="54E35F8A">
      <w:pPr>
        <w:spacing w:line="360" w:lineRule="auto"/>
        <w:ind w:firstLine="420" w:firstLineChars="200"/>
        <w:rPr>
          <w:rFonts w:hint="eastAsia" w:ascii="宋体" w:hAnsi="宋体" w:cs="宋体"/>
        </w:rPr>
      </w:pPr>
      <w:r>
        <w:rPr>
          <w:rFonts w:hint="eastAsia" w:ascii="宋体" w:hAnsi="宋体" w:cs="宋体"/>
        </w:rPr>
        <w:t>如违反上述承诺，你单位有权立即取消我单位响应、成交或在履约项目的资格，有权拒绝我单位在一定时期内进入你单位进行采购活动或其他经营活动，并将通报相关部门及被列入商业贿赂不良记录。由此引起的相应损失均由我单位承担。</w:t>
      </w:r>
    </w:p>
    <w:p w14:paraId="31D52127">
      <w:pPr>
        <w:spacing w:line="360" w:lineRule="auto"/>
        <w:rPr>
          <w:rFonts w:hint="eastAsia" w:ascii="宋体" w:hAnsi="宋体" w:cs="宋体"/>
        </w:rPr>
      </w:pPr>
    </w:p>
    <w:p w14:paraId="58659DD9">
      <w:pPr>
        <w:adjustRightInd w:val="0"/>
        <w:snapToGrid w:val="0"/>
        <w:spacing w:line="360" w:lineRule="auto"/>
        <w:ind w:firstLine="420" w:firstLineChars="200"/>
        <w:rPr>
          <w:rFonts w:hint="eastAsia" w:ascii="宋体" w:hAnsi="宋体" w:cs="宋体"/>
        </w:rPr>
      </w:pPr>
      <w:bookmarkStart w:id="54" w:name="_Toc335138374"/>
      <w:bookmarkStart w:id="55" w:name="_Toc17254"/>
      <w:bookmarkStart w:id="56" w:name="_Toc879"/>
      <w:bookmarkStart w:id="57" w:name="_Toc519160214"/>
      <w:bookmarkStart w:id="58" w:name="_Toc467745181"/>
      <w:bookmarkStart w:id="59" w:name="_Toc184635147"/>
      <w:bookmarkStart w:id="60" w:name="_Toc27441"/>
      <w:bookmarkStart w:id="61" w:name="_Toc303030576"/>
      <w:bookmarkStart w:id="62" w:name="_Toc345575549"/>
      <w:bookmarkStart w:id="63" w:name="_Toc230930642"/>
      <w:r>
        <w:rPr>
          <w:rFonts w:hint="eastAsia" w:ascii="宋体" w:hAnsi="宋体" w:cs="宋体"/>
        </w:rPr>
        <w:t xml:space="preserve">供应商全称（电子印章）：   </w:t>
      </w:r>
    </w:p>
    <w:p w14:paraId="4D656F03">
      <w:pPr>
        <w:adjustRightInd w:val="0"/>
        <w:snapToGrid w:val="0"/>
        <w:spacing w:line="360" w:lineRule="auto"/>
        <w:ind w:firstLine="420" w:firstLineChars="200"/>
        <w:rPr>
          <w:rFonts w:hint="eastAsia" w:ascii="宋体" w:hAnsi="宋体" w:cs="宋体"/>
        </w:rPr>
      </w:pPr>
      <w:r>
        <w:rPr>
          <w:rFonts w:hint="eastAsia" w:ascii="宋体" w:hAnsi="宋体" w:cs="宋体"/>
        </w:rPr>
        <w:t xml:space="preserve">  </w:t>
      </w:r>
    </w:p>
    <w:p w14:paraId="4760B67B">
      <w:pPr>
        <w:adjustRightInd w:val="0"/>
        <w:snapToGrid w:val="0"/>
        <w:spacing w:line="360" w:lineRule="auto"/>
        <w:ind w:firstLine="420" w:firstLineChars="200"/>
        <w:rPr>
          <w:rFonts w:hint="eastAsia" w:ascii="宋体" w:hAnsi="宋体" w:cs="宋体"/>
        </w:rPr>
      </w:pPr>
      <w:r>
        <w:rPr>
          <w:rFonts w:hint="eastAsia" w:ascii="宋体" w:hAnsi="宋体" w:cs="宋体"/>
        </w:rPr>
        <w:t>日期：</w:t>
      </w:r>
    </w:p>
    <w:p w14:paraId="64457834">
      <w:pPr>
        <w:pStyle w:val="4"/>
        <w:ind w:firstLine="0" w:firstLineChars="0"/>
        <w:rPr>
          <w:rFonts w:hint="eastAsia" w:ascii="宋体" w:hAnsi="宋体" w:cs="宋体"/>
        </w:rPr>
      </w:pPr>
      <w:r>
        <w:rPr>
          <w:rFonts w:hint="eastAsia" w:ascii="宋体" w:hAnsi="宋体" w:cs="宋体"/>
        </w:rPr>
        <w:br w:type="page"/>
      </w:r>
      <w:bookmarkStart w:id="64" w:name="_Toc13979"/>
      <w:bookmarkStart w:id="65" w:name="_Toc17641"/>
      <w:bookmarkStart w:id="66" w:name="_Toc13506"/>
      <w:r>
        <w:rPr>
          <w:rFonts w:hint="eastAsia" w:ascii="宋体" w:hAnsi="宋体" w:cs="宋体"/>
        </w:rPr>
        <w:t>三、资格</w:t>
      </w:r>
      <w:r>
        <w:rPr>
          <w:rFonts w:hint="eastAsia" w:ascii="宋体" w:hAnsi="宋体" w:cs="宋体"/>
          <w:szCs w:val="21"/>
        </w:rPr>
        <w:t>审查</w:t>
      </w:r>
      <w:r>
        <w:rPr>
          <w:rFonts w:hint="eastAsia" w:ascii="宋体" w:hAnsi="宋体" w:cs="宋体"/>
        </w:rPr>
        <w:t>资料</w:t>
      </w:r>
      <w:bookmarkEnd w:id="54"/>
      <w:bookmarkEnd w:id="55"/>
      <w:bookmarkEnd w:id="56"/>
      <w:bookmarkEnd w:id="57"/>
      <w:bookmarkEnd w:id="58"/>
      <w:bookmarkEnd w:id="59"/>
      <w:bookmarkEnd w:id="60"/>
      <w:bookmarkEnd w:id="61"/>
      <w:bookmarkEnd w:id="62"/>
      <w:bookmarkEnd w:id="63"/>
      <w:bookmarkEnd w:id="64"/>
      <w:bookmarkEnd w:id="65"/>
      <w:bookmarkEnd w:id="66"/>
    </w:p>
    <w:p w14:paraId="582155D4">
      <w:pPr>
        <w:spacing w:line="360" w:lineRule="auto"/>
        <w:ind w:left="321" w:hanging="321" w:hangingChars="100"/>
        <w:jc w:val="center"/>
        <w:rPr>
          <w:rFonts w:hint="eastAsia" w:ascii="宋体" w:hAnsi="宋体" w:cs="宋体"/>
          <w:b/>
          <w:bCs/>
          <w:sz w:val="32"/>
          <w:szCs w:val="32"/>
        </w:rPr>
      </w:pPr>
      <w:r>
        <w:rPr>
          <w:rFonts w:hint="eastAsia" w:ascii="宋体" w:hAnsi="宋体" w:cs="宋体"/>
          <w:b/>
          <w:bCs/>
          <w:sz w:val="32"/>
          <w:szCs w:val="32"/>
        </w:rPr>
        <w:t>资格审查资料</w:t>
      </w:r>
    </w:p>
    <w:p w14:paraId="11E69849">
      <w:pPr>
        <w:autoSpaceDE w:val="0"/>
        <w:autoSpaceDN w:val="0"/>
        <w:adjustRightInd w:val="0"/>
        <w:spacing w:line="360" w:lineRule="auto"/>
        <w:ind w:firstLine="420" w:firstLineChars="200"/>
        <w:jc w:val="left"/>
        <w:rPr>
          <w:rFonts w:hint="eastAsia" w:ascii="宋体" w:hAnsi="宋体" w:cs="宋体"/>
          <w:kern w:val="0"/>
        </w:rPr>
      </w:pPr>
      <w:r>
        <w:rPr>
          <w:rFonts w:hint="eastAsia" w:ascii="宋体" w:hAnsi="宋体" w:cs="宋体"/>
          <w:kern w:val="0"/>
        </w:rPr>
        <w:t>资格审查须知</w:t>
      </w:r>
    </w:p>
    <w:p w14:paraId="566CDC12">
      <w:pPr>
        <w:autoSpaceDE w:val="0"/>
        <w:autoSpaceDN w:val="0"/>
        <w:adjustRightInd w:val="0"/>
        <w:spacing w:line="360" w:lineRule="auto"/>
        <w:ind w:firstLine="420" w:firstLineChars="200"/>
        <w:jc w:val="left"/>
        <w:rPr>
          <w:rFonts w:hint="eastAsia" w:ascii="宋体" w:hAnsi="宋体" w:cs="宋体"/>
          <w:kern w:val="0"/>
        </w:rPr>
      </w:pPr>
      <w:r>
        <w:rPr>
          <w:rFonts w:hint="eastAsia" w:ascii="宋体" w:hAnsi="宋体" w:cs="宋体"/>
          <w:kern w:val="0"/>
        </w:rPr>
        <w:t>1、供应商必须认真填写招标文件规定的所有表格，并对其真实性负责，采购人有权对其进行调查核实和要求澄清。</w:t>
      </w:r>
    </w:p>
    <w:p w14:paraId="2943772E">
      <w:pPr>
        <w:autoSpaceDE w:val="0"/>
        <w:autoSpaceDN w:val="0"/>
        <w:adjustRightInd w:val="0"/>
        <w:spacing w:line="360" w:lineRule="auto"/>
        <w:ind w:firstLine="420" w:firstLineChars="200"/>
        <w:jc w:val="left"/>
        <w:rPr>
          <w:rFonts w:hint="eastAsia" w:ascii="宋体" w:hAnsi="宋体" w:cs="宋体"/>
          <w:kern w:val="0"/>
        </w:rPr>
      </w:pPr>
      <w:r>
        <w:rPr>
          <w:rFonts w:hint="eastAsia" w:ascii="宋体" w:hAnsi="宋体" w:cs="宋体"/>
          <w:kern w:val="0"/>
        </w:rPr>
        <w:t>2、资格审查按通过和不通过两种方式进行评定，供应商的资格等方面的要求作为资格审查通过的强制性资格条件，经核实有一项不符合要求，则供应商的资格为不通过，不通过的供应商对其响应文件不进行后续评审。</w:t>
      </w:r>
    </w:p>
    <w:p w14:paraId="1C3FF4FB">
      <w:pPr>
        <w:widowControl/>
        <w:spacing w:line="360" w:lineRule="auto"/>
        <w:jc w:val="center"/>
        <w:rPr>
          <w:rFonts w:hint="eastAsia" w:ascii="宋体" w:hAnsi="宋体" w:cs="宋体"/>
          <w:b/>
          <w:bCs/>
          <w:sz w:val="32"/>
        </w:rPr>
      </w:pPr>
      <w:r>
        <w:rPr>
          <w:rFonts w:hint="eastAsia" w:ascii="宋体" w:hAnsi="宋体" w:cs="宋体"/>
          <w:b/>
          <w:bCs/>
          <w:sz w:val="32"/>
        </w:rPr>
        <w:t>强制性资格条件</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6121"/>
        <w:gridCol w:w="2825"/>
      </w:tblGrid>
      <w:tr w14:paraId="09C37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82" w:type="dxa"/>
            <w:vAlign w:val="center"/>
          </w:tcPr>
          <w:p w14:paraId="5CA60FC8">
            <w:pPr>
              <w:jc w:val="center"/>
              <w:rPr>
                <w:rFonts w:hint="eastAsia" w:ascii="宋体" w:hAnsi="宋体" w:cs="宋体"/>
                <w:szCs w:val="21"/>
              </w:rPr>
            </w:pPr>
            <w:r>
              <w:rPr>
                <w:rFonts w:hint="eastAsia" w:ascii="宋体" w:hAnsi="宋体" w:cs="宋体"/>
                <w:szCs w:val="21"/>
              </w:rPr>
              <w:t>序号</w:t>
            </w:r>
          </w:p>
        </w:tc>
        <w:tc>
          <w:tcPr>
            <w:tcW w:w="6121" w:type="dxa"/>
            <w:vAlign w:val="center"/>
          </w:tcPr>
          <w:p w14:paraId="69B85A40">
            <w:pPr>
              <w:jc w:val="center"/>
              <w:rPr>
                <w:rFonts w:hint="eastAsia" w:ascii="宋体" w:hAnsi="宋体" w:cs="宋体"/>
                <w:szCs w:val="21"/>
              </w:rPr>
            </w:pPr>
            <w:r>
              <w:rPr>
                <w:rFonts w:hint="eastAsia" w:ascii="宋体" w:hAnsi="宋体" w:cs="宋体"/>
                <w:szCs w:val="21"/>
              </w:rPr>
              <w:t>强制性资格条件</w:t>
            </w:r>
          </w:p>
        </w:tc>
        <w:tc>
          <w:tcPr>
            <w:tcW w:w="2825" w:type="dxa"/>
            <w:vAlign w:val="center"/>
          </w:tcPr>
          <w:p w14:paraId="606B26FC">
            <w:pPr>
              <w:jc w:val="center"/>
              <w:rPr>
                <w:rFonts w:hint="eastAsia" w:ascii="宋体" w:hAnsi="宋体" w:cs="宋体"/>
                <w:szCs w:val="21"/>
              </w:rPr>
            </w:pPr>
            <w:r>
              <w:rPr>
                <w:rFonts w:hint="eastAsia" w:ascii="宋体" w:hAnsi="宋体" w:cs="宋体"/>
                <w:szCs w:val="21"/>
              </w:rPr>
              <w:t>证明资料附后</w:t>
            </w:r>
          </w:p>
        </w:tc>
      </w:tr>
      <w:tr w14:paraId="4C3D4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82" w:type="dxa"/>
            <w:vAlign w:val="center"/>
          </w:tcPr>
          <w:p w14:paraId="2A519740">
            <w:pPr>
              <w:spacing w:line="380" w:lineRule="exact"/>
              <w:jc w:val="center"/>
              <w:rPr>
                <w:rFonts w:hint="eastAsia" w:ascii="宋体" w:hAnsi="宋体" w:cs="宋体"/>
                <w:szCs w:val="21"/>
              </w:rPr>
            </w:pPr>
            <w:r>
              <w:rPr>
                <w:rFonts w:hint="eastAsia" w:ascii="宋体" w:hAnsi="宋体" w:cs="宋体"/>
                <w:szCs w:val="21"/>
              </w:rPr>
              <w:t>1</w:t>
            </w:r>
          </w:p>
        </w:tc>
        <w:tc>
          <w:tcPr>
            <w:tcW w:w="6121" w:type="dxa"/>
            <w:vAlign w:val="center"/>
          </w:tcPr>
          <w:p w14:paraId="17242D99">
            <w:pPr>
              <w:widowControl/>
              <w:snapToGrid w:val="0"/>
              <w:spacing w:line="360" w:lineRule="auto"/>
              <w:ind w:firstLine="420" w:firstLineChars="200"/>
              <w:jc w:val="left"/>
              <w:rPr>
                <w:rFonts w:hint="eastAsia" w:ascii="宋体" w:hAnsi="宋体" w:cs="宋体"/>
                <w:szCs w:val="21"/>
              </w:rPr>
            </w:pPr>
            <w:r>
              <w:rPr>
                <w:rFonts w:hint="eastAsia" w:ascii="宋体" w:hAnsi="宋体" w:cs="宋体"/>
                <w:kern w:val="0"/>
                <w:szCs w:val="21"/>
              </w:rPr>
              <w:t>满足《中华人民共和国政府采购法》第二十二条规定。未被“信用中国”（www.creditchina.gov.cn）、中国政府采购网（www.ccgp.gov.cn）列入失信被执行人、重大税收违法案件当事人名单、政府采购严重违法失信行为记录名单。</w:t>
            </w:r>
          </w:p>
        </w:tc>
        <w:tc>
          <w:tcPr>
            <w:tcW w:w="2825" w:type="dxa"/>
            <w:vMerge w:val="restart"/>
            <w:vAlign w:val="center"/>
          </w:tcPr>
          <w:p w14:paraId="61F5F4A9">
            <w:pPr>
              <w:spacing w:line="360" w:lineRule="auto"/>
              <w:jc w:val="left"/>
              <w:rPr>
                <w:rFonts w:hint="eastAsia" w:ascii="宋体" w:hAnsi="宋体" w:cs="宋体"/>
                <w:szCs w:val="21"/>
              </w:rPr>
            </w:pPr>
            <w:r>
              <w:rPr>
                <w:rFonts w:hint="eastAsia" w:ascii="宋体" w:hAnsi="宋体" w:cs="宋体"/>
                <w:szCs w:val="21"/>
              </w:rPr>
              <w:t>1、营业执照复印件(或事业法人登记证书或其它工商等登记证明材料；实施“五证合一、一照一码”登记制度改革的，只需提供改革后取得的营业执照复印件）；</w:t>
            </w:r>
          </w:p>
          <w:p w14:paraId="33B7EC6F">
            <w:pPr>
              <w:pStyle w:val="19"/>
              <w:spacing w:line="360" w:lineRule="auto"/>
              <w:rPr>
                <w:rFonts w:hint="eastAsia" w:ascii="宋体" w:hAnsi="宋体" w:cs="宋体"/>
              </w:rPr>
            </w:pPr>
            <w:r>
              <w:rPr>
                <w:rFonts w:hint="eastAsia" w:ascii="宋体" w:hAnsi="宋体" w:cs="宋体"/>
              </w:rPr>
              <w:t>2、承诺函。</w:t>
            </w:r>
          </w:p>
          <w:p w14:paraId="31F62D86">
            <w:pPr>
              <w:jc w:val="left"/>
              <w:rPr>
                <w:rFonts w:hint="eastAsia" w:ascii="宋体" w:hAnsi="宋体" w:cs="宋体"/>
              </w:rPr>
            </w:pPr>
          </w:p>
        </w:tc>
      </w:tr>
      <w:tr w14:paraId="1D5FA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2" w:type="dxa"/>
            <w:vAlign w:val="center"/>
          </w:tcPr>
          <w:p w14:paraId="65E4EB60">
            <w:pPr>
              <w:spacing w:line="380" w:lineRule="exact"/>
              <w:jc w:val="center"/>
              <w:rPr>
                <w:rFonts w:hint="eastAsia" w:ascii="宋体" w:hAnsi="宋体" w:cs="宋体"/>
                <w:szCs w:val="21"/>
              </w:rPr>
            </w:pPr>
            <w:r>
              <w:rPr>
                <w:rFonts w:hint="eastAsia" w:ascii="宋体" w:hAnsi="宋体" w:cs="宋体"/>
                <w:szCs w:val="21"/>
              </w:rPr>
              <w:t>2</w:t>
            </w:r>
          </w:p>
        </w:tc>
        <w:tc>
          <w:tcPr>
            <w:tcW w:w="6121" w:type="dxa"/>
            <w:vAlign w:val="center"/>
          </w:tcPr>
          <w:p w14:paraId="1A26A7A1">
            <w:pPr>
              <w:widowControl/>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单位负责人为同一人或者存在直接控股、管理关系的不同投标人，不得参加同一合同项下的采购活动。</w:t>
            </w:r>
          </w:p>
        </w:tc>
        <w:tc>
          <w:tcPr>
            <w:tcW w:w="2825" w:type="dxa"/>
            <w:vMerge w:val="continue"/>
            <w:vAlign w:val="center"/>
          </w:tcPr>
          <w:p w14:paraId="57F99897">
            <w:pPr>
              <w:jc w:val="left"/>
              <w:rPr>
                <w:rFonts w:hint="eastAsia" w:ascii="宋体" w:hAnsi="宋体" w:cs="宋体"/>
              </w:rPr>
            </w:pPr>
          </w:p>
        </w:tc>
      </w:tr>
      <w:tr w14:paraId="44190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682" w:type="dxa"/>
            <w:vAlign w:val="center"/>
          </w:tcPr>
          <w:p w14:paraId="7AD00E69">
            <w:pPr>
              <w:spacing w:line="380" w:lineRule="exact"/>
              <w:jc w:val="center"/>
              <w:rPr>
                <w:rFonts w:hint="eastAsia" w:ascii="宋体" w:hAnsi="宋体" w:cs="宋体"/>
                <w:szCs w:val="21"/>
              </w:rPr>
            </w:pPr>
            <w:r>
              <w:rPr>
                <w:rFonts w:hint="eastAsia" w:ascii="宋体" w:hAnsi="宋体" w:cs="宋体"/>
                <w:szCs w:val="21"/>
              </w:rPr>
              <w:t>3</w:t>
            </w:r>
          </w:p>
        </w:tc>
        <w:tc>
          <w:tcPr>
            <w:tcW w:w="6121" w:type="dxa"/>
            <w:vAlign w:val="center"/>
          </w:tcPr>
          <w:p w14:paraId="1AC5D3C6">
            <w:pPr>
              <w:widowControl/>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 xml:space="preserve">本项目不接受联合体。  </w:t>
            </w:r>
          </w:p>
        </w:tc>
        <w:tc>
          <w:tcPr>
            <w:tcW w:w="2825" w:type="dxa"/>
            <w:vMerge w:val="continue"/>
            <w:vAlign w:val="center"/>
          </w:tcPr>
          <w:p w14:paraId="325A0FB3">
            <w:pPr>
              <w:jc w:val="left"/>
              <w:rPr>
                <w:rFonts w:hint="eastAsia" w:ascii="宋体" w:hAnsi="宋体" w:cs="宋体"/>
              </w:rPr>
            </w:pPr>
          </w:p>
        </w:tc>
      </w:tr>
    </w:tbl>
    <w:p w14:paraId="0EF1A6FA">
      <w:pPr>
        <w:snapToGrid w:val="0"/>
        <w:spacing w:line="360" w:lineRule="auto"/>
        <w:rPr>
          <w:rFonts w:hint="eastAsia" w:ascii="宋体" w:hAnsi="宋体" w:cs="宋体"/>
          <w:b/>
          <w:kern w:val="0"/>
          <w:szCs w:val="21"/>
        </w:rPr>
      </w:pPr>
      <w:r>
        <w:rPr>
          <w:rFonts w:hint="eastAsia" w:ascii="宋体" w:hAnsi="宋体" w:cs="宋体"/>
          <w:b/>
          <w:kern w:val="0"/>
          <w:szCs w:val="21"/>
        </w:rPr>
        <w:t>注：1、证明材料复印件需齐全，不得缺页，否则证明无效。</w:t>
      </w:r>
    </w:p>
    <w:p w14:paraId="679F74C6">
      <w:pPr>
        <w:adjustRightInd w:val="0"/>
        <w:snapToGrid w:val="0"/>
        <w:spacing w:line="360" w:lineRule="auto"/>
        <w:ind w:left="105" w:leftChars="50" w:firstLine="560" w:firstLineChars="200"/>
        <w:rPr>
          <w:rFonts w:hint="eastAsia" w:ascii="宋体" w:hAnsi="宋体" w:cs="宋体"/>
          <w:b/>
          <w:sz w:val="22"/>
        </w:rPr>
      </w:pPr>
      <w:r>
        <w:rPr>
          <w:rFonts w:hint="eastAsia" w:ascii="宋体" w:hAnsi="宋体" w:cs="宋体"/>
          <w:kern w:val="0"/>
          <w:sz w:val="28"/>
        </w:rPr>
        <w:br w:type="page"/>
      </w:r>
      <w:r>
        <w:rPr>
          <w:rFonts w:hint="eastAsia" w:ascii="宋体" w:hAnsi="宋体" w:cs="宋体"/>
          <w:b/>
          <w:sz w:val="28"/>
        </w:rPr>
        <w:t>资格要求审查材料：</w:t>
      </w:r>
    </w:p>
    <w:p w14:paraId="6B4FB35B">
      <w:pPr>
        <w:adjustRightInd w:val="0"/>
        <w:snapToGrid w:val="0"/>
        <w:spacing w:line="360" w:lineRule="auto"/>
        <w:ind w:left="105" w:leftChars="50" w:firstLine="420" w:firstLineChars="200"/>
        <w:rPr>
          <w:rFonts w:hint="eastAsia" w:ascii="宋体" w:hAnsi="宋体" w:cs="宋体"/>
          <w:szCs w:val="21"/>
        </w:rPr>
      </w:pPr>
      <w:r>
        <w:rPr>
          <w:rFonts w:hint="eastAsia" w:ascii="宋体" w:hAnsi="宋体" w:cs="宋体"/>
          <w:szCs w:val="21"/>
        </w:rPr>
        <w:t>【即证明其符合资格条件的有关资格证明文件。】</w:t>
      </w:r>
    </w:p>
    <w:p w14:paraId="6BA0ABAF">
      <w:pPr>
        <w:adjustRightInd w:val="0"/>
        <w:snapToGrid w:val="0"/>
        <w:spacing w:line="360" w:lineRule="auto"/>
        <w:ind w:left="105" w:leftChars="50" w:firstLine="420" w:firstLineChars="200"/>
        <w:rPr>
          <w:rFonts w:hint="eastAsia" w:ascii="宋体" w:hAnsi="宋体" w:cs="宋体"/>
          <w:szCs w:val="21"/>
        </w:rPr>
      </w:pPr>
      <w:r>
        <w:rPr>
          <w:rFonts w:hint="eastAsia" w:ascii="宋体" w:hAnsi="宋体" w:cs="宋体"/>
          <w:szCs w:val="21"/>
        </w:rPr>
        <w:t>包括：</w:t>
      </w:r>
    </w:p>
    <w:p w14:paraId="0DE73BB5">
      <w:pPr>
        <w:adjustRightInd w:val="0"/>
        <w:snapToGrid w:val="0"/>
        <w:spacing w:line="360" w:lineRule="auto"/>
        <w:ind w:left="105" w:leftChars="50" w:firstLine="420" w:firstLineChars="200"/>
        <w:rPr>
          <w:rFonts w:hint="eastAsia" w:ascii="宋体" w:hAnsi="宋体" w:cs="宋体"/>
          <w:szCs w:val="21"/>
        </w:rPr>
      </w:pPr>
      <w:r>
        <w:rPr>
          <w:rFonts w:hint="eastAsia" w:ascii="宋体" w:hAnsi="宋体" w:cs="宋体"/>
          <w:szCs w:val="21"/>
        </w:rPr>
        <w:t>（1）</w:t>
      </w:r>
      <w:r>
        <w:rPr>
          <w:rFonts w:hint="eastAsia"/>
        </w:rPr>
        <w:t>营业执照复印件</w:t>
      </w:r>
      <w:r>
        <w:rPr>
          <w:rFonts w:hint="eastAsia" w:ascii="宋体" w:hAnsi="宋体" w:cs="宋体"/>
          <w:szCs w:val="21"/>
        </w:rPr>
        <w:t xml:space="preserve">(或事业法人登记证书或其它工商等登记证明材料；实施“五证合一、一照一码”登记制度改革的，只需提供改革后取得的营业执照复印件； </w:t>
      </w:r>
    </w:p>
    <w:p w14:paraId="7AEA4E37">
      <w:pPr>
        <w:adjustRightInd w:val="0"/>
        <w:snapToGrid w:val="0"/>
        <w:spacing w:line="360" w:lineRule="auto"/>
        <w:ind w:left="105" w:leftChars="50" w:firstLine="420" w:firstLineChars="200"/>
        <w:rPr>
          <w:rFonts w:hint="eastAsia" w:ascii="宋体" w:hAnsi="宋体" w:cs="宋体"/>
          <w:szCs w:val="21"/>
        </w:rPr>
      </w:pPr>
    </w:p>
    <w:p w14:paraId="09C78E6B">
      <w:pPr>
        <w:adjustRightInd w:val="0"/>
        <w:snapToGrid w:val="0"/>
        <w:spacing w:line="360" w:lineRule="auto"/>
        <w:ind w:left="105" w:leftChars="50" w:firstLine="420" w:firstLineChars="200"/>
        <w:rPr>
          <w:rFonts w:hint="eastAsia" w:ascii="宋体" w:hAnsi="宋体" w:cs="宋体"/>
          <w:szCs w:val="21"/>
        </w:rPr>
      </w:pPr>
    </w:p>
    <w:p w14:paraId="47AF4ADB">
      <w:pPr>
        <w:adjustRightInd w:val="0"/>
        <w:snapToGrid w:val="0"/>
        <w:spacing w:line="360" w:lineRule="auto"/>
        <w:ind w:left="105" w:leftChars="50" w:firstLine="420" w:firstLineChars="200"/>
        <w:rPr>
          <w:rFonts w:hint="eastAsia" w:ascii="宋体" w:hAnsi="宋体" w:cs="宋体"/>
          <w:szCs w:val="21"/>
        </w:rPr>
      </w:pPr>
      <w:r>
        <w:rPr>
          <w:rFonts w:hint="eastAsia" w:ascii="宋体" w:hAnsi="宋体" w:cs="宋体"/>
          <w:szCs w:val="21"/>
        </w:rPr>
        <w:br w:type="page"/>
      </w:r>
      <w:r>
        <w:rPr>
          <w:rFonts w:hint="eastAsia" w:ascii="宋体" w:hAnsi="宋体" w:cs="宋体"/>
          <w:szCs w:val="21"/>
        </w:rPr>
        <w:t>（2）承诺函</w:t>
      </w:r>
    </w:p>
    <w:p w14:paraId="2AD77EF0">
      <w:pPr>
        <w:adjustRightInd w:val="0"/>
        <w:snapToGrid w:val="0"/>
        <w:spacing w:line="360" w:lineRule="auto"/>
        <w:ind w:left="105" w:leftChars="50" w:firstLine="420" w:firstLineChars="200"/>
        <w:rPr>
          <w:rFonts w:hint="eastAsia" w:ascii="宋体" w:hAnsi="宋体" w:cs="宋体"/>
          <w:szCs w:val="21"/>
        </w:rPr>
      </w:pPr>
    </w:p>
    <w:p w14:paraId="282D8CB0">
      <w:pPr>
        <w:widowControl/>
        <w:adjustRightInd w:val="0"/>
        <w:snapToGrid w:val="0"/>
        <w:spacing w:line="360" w:lineRule="auto"/>
        <w:jc w:val="center"/>
        <w:rPr>
          <w:rFonts w:hint="eastAsia" w:ascii="宋体" w:hAnsi="宋体" w:cs="宋体"/>
          <w:b/>
          <w:kern w:val="0"/>
          <w:szCs w:val="21"/>
        </w:rPr>
      </w:pPr>
      <w:r>
        <w:rPr>
          <w:rFonts w:hint="eastAsia" w:ascii="宋体" w:hAnsi="宋体" w:cs="宋体"/>
          <w:b/>
          <w:kern w:val="0"/>
          <w:szCs w:val="21"/>
        </w:rPr>
        <w:t>承诺函</w:t>
      </w:r>
    </w:p>
    <w:p w14:paraId="767B0B0F">
      <w:pPr>
        <w:widowControl/>
        <w:adjustRightInd w:val="0"/>
        <w:snapToGrid w:val="0"/>
        <w:spacing w:line="360" w:lineRule="auto"/>
        <w:jc w:val="left"/>
        <w:rPr>
          <w:rFonts w:hint="eastAsia" w:ascii="宋体" w:hAnsi="宋体" w:cs="宋体"/>
          <w:kern w:val="0"/>
          <w:szCs w:val="21"/>
        </w:rPr>
      </w:pPr>
      <w:r>
        <w:rPr>
          <w:rFonts w:hint="eastAsia" w:ascii="宋体" w:hAnsi="宋体" w:cs="宋体"/>
          <w:kern w:val="0"/>
          <w:szCs w:val="21"/>
          <w:u w:val="single"/>
        </w:rPr>
        <w:t>（采购人）</w:t>
      </w:r>
      <w:r>
        <w:rPr>
          <w:rFonts w:hint="eastAsia" w:ascii="宋体" w:hAnsi="宋体" w:cs="宋体"/>
          <w:kern w:val="0"/>
          <w:szCs w:val="21"/>
        </w:rPr>
        <w:t>：</w:t>
      </w:r>
    </w:p>
    <w:p w14:paraId="69643775">
      <w:pPr>
        <w:widowControl/>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我方参与（项目名称）【项目编号：（采购编号）】采购活动，郑重承诺：</w:t>
      </w:r>
    </w:p>
    <w:p w14:paraId="44B06AD4">
      <w:pPr>
        <w:widowControl/>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1、满足《中华人民共和国政府采购法》第二十二条规定。未被“信用中国”（www.creditchina.gov.cn）、中国政府采购网（www.ccgp.gov.cn）列入失信被执行人、重大税收违法案件当事人名单、政府采购严重违法失信行为记录名单。</w:t>
      </w:r>
    </w:p>
    <w:p w14:paraId="3EFF335D">
      <w:pPr>
        <w:widowControl/>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2、单位负责人为同一人或者存在直接控股、管理关系的不同投标人，未参加同一合同项下的采购活动。</w:t>
      </w:r>
    </w:p>
    <w:p w14:paraId="5F624349">
      <w:pPr>
        <w:widowControl/>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 xml:space="preserve">3、本项目不以联合体响应。   </w:t>
      </w:r>
    </w:p>
    <w:p w14:paraId="57BC32D1"/>
    <w:p w14:paraId="69F659F5">
      <w:pPr>
        <w:widowControl/>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特此承诺！</w:t>
      </w:r>
    </w:p>
    <w:p w14:paraId="2AE60AA2">
      <w:pPr>
        <w:adjustRightInd w:val="0"/>
        <w:snapToGrid w:val="0"/>
        <w:spacing w:line="360" w:lineRule="auto"/>
        <w:ind w:left="525" w:leftChars="250"/>
        <w:rPr>
          <w:rFonts w:hint="eastAsia" w:ascii="宋体" w:hAnsi="宋体" w:cs="宋体"/>
          <w:szCs w:val="21"/>
        </w:rPr>
      </w:pPr>
    </w:p>
    <w:p w14:paraId="5632C1A4">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供应商全称（电子印章）：</w:t>
      </w:r>
    </w:p>
    <w:p w14:paraId="743B93C8">
      <w:pPr>
        <w:adjustRightInd w:val="0"/>
        <w:snapToGrid w:val="0"/>
        <w:spacing w:line="360" w:lineRule="auto"/>
        <w:ind w:firstLine="420" w:firstLineChars="200"/>
        <w:rPr>
          <w:rFonts w:hint="eastAsia" w:ascii="宋体" w:hAnsi="宋体" w:cs="宋体"/>
        </w:rPr>
      </w:pPr>
      <w:r>
        <w:rPr>
          <w:rFonts w:hint="eastAsia" w:ascii="宋体" w:hAnsi="宋体" w:cs="宋体"/>
          <w:kern w:val="0"/>
          <w:szCs w:val="21"/>
        </w:rPr>
        <w:t>日期：  年  月  日</w:t>
      </w:r>
    </w:p>
    <w:p w14:paraId="2CA14C61">
      <w:pPr>
        <w:widowControl/>
        <w:adjustRightInd w:val="0"/>
        <w:snapToGrid w:val="0"/>
        <w:spacing w:line="360" w:lineRule="auto"/>
        <w:ind w:firstLine="420" w:firstLineChars="200"/>
        <w:rPr>
          <w:rFonts w:hint="eastAsia" w:ascii="宋体" w:hAnsi="宋体" w:cs="宋体"/>
          <w:kern w:val="0"/>
          <w:szCs w:val="21"/>
        </w:rPr>
      </w:pPr>
    </w:p>
    <w:p w14:paraId="42FBEE4B">
      <w:pPr>
        <w:spacing w:line="360" w:lineRule="auto"/>
        <w:rPr>
          <w:rFonts w:hint="eastAsia" w:ascii="宋体" w:hAnsi="宋体" w:cs="宋体"/>
          <w:szCs w:val="21"/>
        </w:rPr>
      </w:pPr>
    </w:p>
    <w:p w14:paraId="55F190E8">
      <w:pPr>
        <w:spacing w:line="360" w:lineRule="auto"/>
        <w:rPr>
          <w:rFonts w:hint="eastAsia" w:ascii="宋体" w:hAnsi="宋体" w:cs="宋体"/>
          <w:szCs w:val="21"/>
        </w:rPr>
      </w:pPr>
    </w:p>
    <w:p w14:paraId="2F50F012">
      <w:pPr>
        <w:spacing w:line="360" w:lineRule="auto"/>
        <w:rPr>
          <w:rFonts w:hint="eastAsia" w:ascii="宋体" w:hAnsi="宋体" w:cs="宋体"/>
          <w:szCs w:val="21"/>
        </w:rPr>
      </w:pPr>
    </w:p>
    <w:p w14:paraId="4F16A992">
      <w:pPr>
        <w:adjustRightInd w:val="0"/>
        <w:snapToGrid w:val="0"/>
        <w:spacing w:line="360" w:lineRule="auto"/>
        <w:rPr>
          <w:rFonts w:hint="eastAsia" w:ascii="宋体" w:hAnsi="宋体" w:cs="宋体"/>
        </w:rPr>
      </w:pPr>
      <w:bookmarkStart w:id="67" w:name="_Toc467745180"/>
      <w:bookmarkStart w:id="68" w:name="_Toc16642"/>
      <w:bookmarkStart w:id="69" w:name="_Toc24984"/>
      <w:bookmarkStart w:id="70" w:name="_Toc345575543"/>
      <w:bookmarkStart w:id="71" w:name="_Toc519160213"/>
      <w:bookmarkStart w:id="72" w:name="_Toc336683581"/>
      <w:bookmarkStart w:id="73" w:name="_Toc16159"/>
    </w:p>
    <w:p w14:paraId="3374275F">
      <w:pPr>
        <w:pStyle w:val="4"/>
        <w:ind w:firstLine="0" w:firstLineChars="0"/>
        <w:rPr>
          <w:rFonts w:hint="eastAsia" w:ascii="宋体" w:hAnsi="宋体" w:cs="宋体"/>
        </w:rPr>
      </w:pPr>
      <w:r>
        <w:rPr>
          <w:rFonts w:hint="eastAsia" w:ascii="宋体" w:hAnsi="宋体" w:cs="宋体"/>
        </w:rPr>
        <w:br w:type="page"/>
      </w:r>
      <w:bookmarkStart w:id="74" w:name="_Toc9584"/>
      <w:bookmarkStart w:id="75" w:name="_Toc8965"/>
      <w:bookmarkStart w:id="76" w:name="_Toc6966"/>
      <w:r>
        <w:rPr>
          <w:rFonts w:hint="eastAsia" w:ascii="宋体" w:hAnsi="宋体" w:cs="宋体"/>
        </w:rPr>
        <w:t>四、偏离表</w:t>
      </w:r>
      <w:bookmarkEnd w:id="67"/>
      <w:bookmarkEnd w:id="68"/>
      <w:bookmarkEnd w:id="69"/>
      <w:bookmarkEnd w:id="70"/>
      <w:bookmarkEnd w:id="71"/>
      <w:bookmarkEnd w:id="72"/>
      <w:bookmarkEnd w:id="73"/>
      <w:bookmarkEnd w:id="74"/>
      <w:bookmarkEnd w:id="75"/>
      <w:bookmarkEnd w:id="76"/>
      <w:r>
        <w:rPr>
          <w:rFonts w:hint="eastAsia" w:ascii="宋体" w:hAnsi="宋体" w:cs="宋体"/>
        </w:rPr>
        <w:t xml:space="preserve"> </w:t>
      </w:r>
    </w:p>
    <w:p w14:paraId="0A173F7B">
      <w:pPr>
        <w:spacing w:line="360" w:lineRule="auto"/>
        <w:ind w:left="321" w:hanging="321" w:hangingChars="100"/>
        <w:jc w:val="center"/>
        <w:rPr>
          <w:rFonts w:hint="eastAsia" w:ascii="宋体" w:hAnsi="宋体" w:cs="宋体"/>
          <w:b/>
          <w:bCs/>
          <w:sz w:val="32"/>
          <w:szCs w:val="32"/>
        </w:rPr>
      </w:pPr>
      <w:r>
        <w:rPr>
          <w:rFonts w:hint="eastAsia" w:ascii="宋体" w:hAnsi="宋体" w:cs="宋体"/>
          <w:b/>
          <w:bCs/>
          <w:sz w:val="32"/>
          <w:szCs w:val="32"/>
        </w:rPr>
        <w:t>偏离表</w:t>
      </w:r>
    </w:p>
    <w:p w14:paraId="38EB0E9A">
      <w:pPr>
        <w:spacing w:line="360" w:lineRule="auto"/>
        <w:rPr>
          <w:rFonts w:hint="eastAsia" w:ascii="宋体" w:hAnsi="宋体" w:cs="宋体"/>
          <w:u w:val="single"/>
        </w:rPr>
      </w:pPr>
      <w:r>
        <w:rPr>
          <w:rFonts w:hint="eastAsia" w:ascii="宋体" w:hAnsi="宋体" w:cs="宋体"/>
        </w:rPr>
        <w:t>项目名称：</w:t>
      </w:r>
      <w:r>
        <w:rPr>
          <w:rFonts w:hint="eastAsia" w:ascii="宋体" w:hAnsi="宋体" w:cs="宋体"/>
          <w:u w:val="single"/>
        </w:rPr>
        <w:t xml:space="preserve">                          </w:t>
      </w:r>
    </w:p>
    <w:p w14:paraId="2C9BF746">
      <w:pPr>
        <w:spacing w:line="360" w:lineRule="auto"/>
        <w:rPr>
          <w:rFonts w:hint="eastAsia" w:ascii="宋体" w:hAnsi="宋体" w:cs="宋体"/>
          <w:u w:val="single"/>
        </w:rPr>
      </w:pPr>
      <w:r>
        <w:rPr>
          <w:rFonts w:hint="eastAsia" w:ascii="宋体" w:hAnsi="宋体" w:cs="宋体"/>
        </w:rPr>
        <w:t>项目编号：</w:t>
      </w:r>
      <w:r>
        <w:rPr>
          <w:rFonts w:hint="eastAsia" w:ascii="宋体" w:hAnsi="宋体" w:cs="宋体"/>
          <w:u w:val="single"/>
        </w:rPr>
        <w:t xml:space="preserve">                           </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9"/>
        <w:gridCol w:w="732"/>
        <w:gridCol w:w="2197"/>
        <w:gridCol w:w="2197"/>
        <w:gridCol w:w="2013"/>
        <w:gridCol w:w="1830"/>
      </w:tblGrid>
      <w:tr w14:paraId="2FFC38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659" w:type="dxa"/>
            <w:vAlign w:val="center"/>
          </w:tcPr>
          <w:p w14:paraId="7669FD49">
            <w:pPr>
              <w:snapToGrid w:val="0"/>
              <w:spacing w:line="360" w:lineRule="auto"/>
              <w:jc w:val="center"/>
              <w:rPr>
                <w:rFonts w:hint="eastAsia" w:ascii="宋体" w:hAnsi="宋体" w:cs="宋体"/>
              </w:rPr>
            </w:pPr>
            <w:r>
              <w:rPr>
                <w:rFonts w:hint="eastAsia" w:ascii="宋体" w:hAnsi="宋体" w:cs="宋体"/>
              </w:rPr>
              <w:t>序号</w:t>
            </w:r>
          </w:p>
        </w:tc>
        <w:tc>
          <w:tcPr>
            <w:tcW w:w="732" w:type="dxa"/>
            <w:tcBorders>
              <w:left w:val="single" w:color="auto" w:sz="4" w:space="0"/>
              <w:right w:val="single" w:color="auto" w:sz="4" w:space="0"/>
            </w:tcBorders>
            <w:vAlign w:val="center"/>
          </w:tcPr>
          <w:p w14:paraId="5B26D6F3">
            <w:pPr>
              <w:snapToGrid w:val="0"/>
              <w:spacing w:line="360" w:lineRule="auto"/>
              <w:jc w:val="center"/>
              <w:rPr>
                <w:rFonts w:hint="eastAsia" w:ascii="宋体" w:hAnsi="宋体" w:cs="宋体"/>
              </w:rPr>
            </w:pPr>
            <w:r>
              <w:rPr>
                <w:rFonts w:hint="eastAsia" w:ascii="宋体" w:hAnsi="宋体" w:cs="宋体"/>
              </w:rPr>
              <w:t>类别</w:t>
            </w:r>
          </w:p>
        </w:tc>
        <w:tc>
          <w:tcPr>
            <w:tcW w:w="2197" w:type="dxa"/>
            <w:tcBorders>
              <w:left w:val="single" w:color="auto" w:sz="4" w:space="0"/>
            </w:tcBorders>
            <w:vAlign w:val="center"/>
          </w:tcPr>
          <w:p w14:paraId="7C1104CF">
            <w:pPr>
              <w:snapToGrid w:val="0"/>
              <w:spacing w:line="360" w:lineRule="auto"/>
              <w:jc w:val="center"/>
              <w:rPr>
                <w:rFonts w:hint="eastAsia" w:ascii="宋体" w:hAnsi="宋体" w:cs="宋体"/>
              </w:rPr>
            </w:pPr>
            <w:r>
              <w:rPr>
                <w:rFonts w:hint="eastAsia" w:ascii="宋体" w:hAnsi="宋体" w:cs="宋体"/>
              </w:rPr>
              <w:t>采购要求</w:t>
            </w:r>
          </w:p>
        </w:tc>
        <w:tc>
          <w:tcPr>
            <w:tcW w:w="2197" w:type="dxa"/>
            <w:vAlign w:val="center"/>
          </w:tcPr>
          <w:p w14:paraId="33F285EA">
            <w:pPr>
              <w:snapToGrid w:val="0"/>
              <w:spacing w:line="360" w:lineRule="auto"/>
              <w:jc w:val="center"/>
              <w:rPr>
                <w:rFonts w:hint="eastAsia" w:ascii="宋体" w:hAnsi="宋体" w:cs="宋体"/>
              </w:rPr>
            </w:pPr>
            <w:r>
              <w:rPr>
                <w:rFonts w:hint="eastAsia" w:ascii="宋体" w:hAnsi="宋体" w:cs="宋体"/>
              </w:rPr>
              <w:t>响应情况</w:t>
            </w:r>
          </w:p>
        </w:tc>
        <w:tc>
          <w:tcPr>
            <w:tcW w:w="2013" w:type="dxa"/>
            <w:vAlign w:val="center"/>
          </w:tcPr>
          <w:p w14:paraId="7A0840A4">
            <w:pPr>
              <w:snapToGrid w:val="0"/>
              <w:spacing w:line="360" w:lineRule="auto"/>
              <w:jc w:val="center"/>
              <w:rPr>
                <w:rFonts w:hint="eastAsia" w:ascii="宋体" w:hAnsi="宋体" w:cs="宋体"/>
              </w:rPr>
            </w:pPr>
            <w:r>
              <w:rPr>
                <w:rFonts w:hint="eastAsia" w:ascii="宋体" w:hAnsi="宋体" w:cs="宋体"/>
              </w:rPr>
              <w:t>是否偏离</w:t>
            </w:r>
          </w:p>
        </w:tc>
        <w:tc>
          <w:tcPr>
            <w:tcW w:w="1830" w:type="dxa"/>
            <w:vAlign w:val="center"/>
          </w:tcPr>
          <w:p w14:paraId="29A4BD3B">
            <w:pPr>
              <w:snapToGrid w:val="0"/>
              <w:spacing w:line="360" w:lineRule="auto"/>
              <w:jc w:val="center"/>
              <w:rPr>
                <w:rFonts w:hint="eastAsia" w:ascii="宋体" w:hAnsi="宋体" w:cs="宋体"/>
              </w:rPr>
            </w:pPr>
            <w:r>
              <w:rPr>
                <w:rFonts w:hint="eastAsia" w:ascii="宋体" w:hAnsi="宋体" w:cs="宋体"/>
              </w:rPr>
              <w:t>说明</w:t>
            </w:r>
          </w:p>
        </w:tc>
      </w:tr>
      <w:tr w14:paraId="0172B54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659" w:type="dxa"/>
            <w:vAlign w:val="center"/>
          </w:tcPr>
          <w:p w14:paraId="7A0CBB8E">
            <w:pPr>
              <w:snapToGrid w:val="0"/>
              <w:spacing w:line="360" w:lineRule="auto"/>
              <w:jc w:val="center"/>
              <w:rPr>
                <w:rFonts w:hint="eastAsia" w:ascii="宋体" w:hAnsi="宋体" w:cs="宋体"/>
              </w:rPr>
            </w:pPr>
          </w:p>
        </w:tc>
        <w:tc>
          <w:tcPr>
            <w:tcW w:w="732" w:type="dxa"/>
            <w:vMerge w:val="restart"/>
            <w:tcBorders>
              <w:left w:val="single" w:color="auto" w:sz="4" w:space="0"/>
              <w:right w:val="single" w:color="auto" w:sz="4" w:space="0"/>
            </w:tcBorders>
            <w:vAlign w:val="center"/>
          </w:tcPr>
          <w:p w14:paraId="55842541">
            <w:pPr>
              <w:snapToGrid w:val="0"/>
              <w:spacing w:line="360" w:lineRule="auto"/>
              <w:jc w:val="center"/>
              <w:rPr>
                <w:rFonts w:hint="eastAsia" w:ascii="宋体" w:hAnsi="宋体" w:cs="宋体"/>
              </w:rPr>
            </w:pPr>
            <w:r>
              <w:rPr>
                <w:rFonts w:hint="eastAsia" w:ascii="宋体" w:hAnsi="宋体" w:cs="宋体"/>
              </w:rPr>
              <w:t>商务偏离</w:t>
            </w:r>
          </w:p>
        </w:tc>
        <w:tc>
          <w:tcPr>
            <w:tcW w:w="2197" w:type="dxa"/>
            <w:tcBorders>
              <w:left w:val="single" w:color="auto" w:sz="4" w:space="0"/>
            </w:tcBorders>
            <w:vAlign w:val="center"/>
          </w:tcPr>
          <w:p w14:paraId="49961364">
            <w:pPr>
              <w:snapToGrid w:val="0"/>
              <w:spacing w:line="360" w:lineRule="auto"/>
              <w:jc w:val="center"/>
              <w:rPr>
                <w:rFonts w:hint="eastAsia" w:ascii="宋体" w:hAnsi="宋体" w:cs="宋体"/>
              </w:rPr>
            </w:pPr>
          </w:p>
        </w:tc>
        <w:tc>
          <w:tcPr>
            <w:tcW w:w="2197" w:type="dxa"/>
            <w:vAlign w:val="center"/>
          </w:tcPr>
          <w:p w14:paraId="1D72C8EF">
            <w:pPr>
              <w:snapToGrid w:val="0"/>
              <w:spacing w:line="360" w:lineRule="auto"/>
              <w:jc w:val="center"/>
              <w:rPr>
                <w:rFonts w:hint="eastAsia" w:ascii="宋体" w:hAnsi="宋体" w:cs="宋体"/>
              </w:rPr>
            </w:pPr>
          </w:p>
        </w:tc>
        <w:tc>
          <w:tcPr>
            <w:tcW w:w="2013" w:type="dxa"/>
            <w:vAlign w:val="center"/>
          </w:tcPr>
          <w:p w14:paraId="579337FD">
            <w:pPr>
              <w:snapToGrid w:val="0"/>
              <w:spacing w:line="360" w:lineRule="auto"/>
              <w:jc w:val="center"/>
              <w:rPr>
                <w:rFonts w:hint="eastAsia" w:ascii="宋体" w:hAnsi="宋体" w:cs="宋体"/>
              </w:rPr>
            </w:pPr>
          </w:p>
        </w:tc>
        <w:tc>
          <w:tcPr>
            <w:tcW w:w="1830" w:type="dxa"/>
            <w:vAlign w:val="center"/>
          </w:tcPr>
          <w:p w14:paraId="45D7C378">
            <w:pPr>
              <w:snapToGrid w:val="0"/>
              <w:spacing w:line="360" w:lineRule="auto"/>
              <w:jc w:val="center"/>
              <w:rPr>
                <w:rFonts w:hint="eastAsia" w:ascii="宋体" w:hAnsi="宋体" w:cs="宋体"/>
              </w:rPr>
            </w:pPr>
          </w:p>
        </w:tc>
      </w:tr>
      <w:tr w14:paraId="2B13437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659" w:type="dxa"/>
            <w:vAlign w:val="center"/>
          </w:tcPr>
          <w:p w14:paraId="28A120BD">
            <w:pPr>
              <w:snapToGrid w:val="0"/>
              <w:spacing w:line="360" w:lineRule="auto"/>
              <w:jc w:val="center"/>
              <w:rPr>
                <w:rFonts w:hint="eastAsia" w:ascii="宋体" w:hAnsi="宋体" w:cs="宋体"/>
              </w:rPr>
            </w:pPr>
          </w:p>
        </w:tc>
        <w:tc>
          <w:tcPr>
            <w:tcW w:w="732" w:type="dxa"/>
            <w:vMerge w:val="continue"/>
            <w:tcBorders>
              <w:left w:val="single" w:color="auto" w:sz="4" w:space="0"/>
              <w:right w:val="single" w:color="auto" w:sz="4" w:space="0"/>
            </w:tcBorders>
            <w:vAlign w:val="center"/>
          </w:tcPr>
          <w:p w14:paraId="4871B220">
            <w:pPr>
              <w:snapToGrid w:val="0"/>
              <w:spacing w:line="360" w:lineRule="auto"/>
              <w:jc w:val="center"/>
              <w:rPr>
                <w:rFonts w:hint="eastAsia" w:ascii="宋体" w:hAnsi="宋体" w:cs="宋体"/>
              </w:rPr>
            </w:pPr>
          </w:p>
        </w:tc>
        <w:tc>
          <w:tcPr>
            <w:tcW w:w="2197" w:type="dxa"/>
            <w:tcBorders>
              <w:left w:val="single" w:color="auto" w:sz="4" w:space="0"/>
            </w:tcBorders>
            <w:vAlign w:val="center"/>
          </w:tcPr>
          <w:p w14:paraId="4CCB5532">
            <w:pPr>
              <w:snapToGrid w:val="0"/>
              <w:spacing w:line="360" w:lineRule="auto"/>
              <w:jc w:val="center"/>
              <w:rPr>
                <w:rFonts w:hint="eastAsia" w:ascii="宋体" w:hAnsi="宋体" w:cs="宋体"/>
              </w:rPr>
            </w:pPr>
          </w:p>
        </w:tc>
        <w:tc>
          <w:tcPr>
            <w:tcW w:w="2197" w:type="dxa"/>
            <w:vAlign w:val="center"/>
          </w:tcPr>
          <w:p w14:paraId="2F903FF9">
            <w:pPr>
              <w:snapToGrid w:val="0"/>
              <w:spacing w:line="360" w:lineRule="auto"/>
              <w:jc w:val="center"/>
              <w:rPr>
                <w:rFonts w:hint="eastAsia" w:ascii="宋体" w:hAnsi="宋体" w:cs="宋体"/>
              </w:rPr>
            </w:pPr>
          </w:p>
        </w:tc>
        <w:tc>
          <w:tcPr>
            <w:tcW w:w="2013" w:type="dxa"/>
            <w:vAlign w:val="center"/>
          </w:tcPr>
          <w:p w14:paraId="4BF30102">
            <w:pPr>
              <w:snapToGrid w:val="0"/>
              <w:spacing w:line="360" w:lineRule="auto"/>
              <w:jc w:val="center"/>
              <w:rPr>
                <w:rFonts w:hint="eastAsia" w:ascii="宋体" w:hAnsi="宋体" w:cs="宋体"/>
              </w:rPr>
            </w:pPr>
          </w:p>
        </w:tc>
        <w:tc>
          <w:tcPr>
            <w:tcW w:w="1830" w:type="dxa"/>
            <w:vAlign w:val="center"/>
          </w:tcPr>
          <w:p w14:paraId="447A837E">
            <w:pPr>
              <w:snapToGrid w:val="0"/>
              <w:spacing w:line="360" w:lineRule="auto"/>
              <w:jc w:val="center"/>
              <w:rPr>
                <w:rFonts w:hint="eastAsia" w:ascii="宋体" w:hAnsi="宋体" w:cs="宋体"/>
              </w:rPr>
            </w:pPr>
          </w:p>
        </w:tc>
      </w:tr>
      <w:tr w14:paraId="1225F4D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659" w:type="dxa"/>
            <w:vAlign w:val="center"/>
          </w:tcPr>
          <w:p w14:paraId="1D107CD5">
            <w:pPr>
              <w:snapToGrid w:val="0"/>
              <w:spacing w:line="360" w:lineRule="auto"/>
              <w:jc w:val="center"/>
              <w:rPr>
                <w:rFonts w:hint="eastAsia" w:ascii="宋体" w:hAnsi="宋体" w:cs="宋体"/>
              </w:rPr>
            </w:pPr>
          </w:p>
        </w:tc>
        <w:tc>
          <w:tcPr>
            <w:tcW w:w="732" w:type="dxa"/>
            <w:vMerge w:val="continue"/>
            <w:tcBorders>
              <w:left w:val="single" w:color="auto" w:sz="4" w:space="0"/>
              <w:right w:val="single" w:color="auto" w:sz="4" w:space="0"/>
            </w:tcBorders>
            <w:vAlign w:val="center"/>
          </w:tcPr>
          <w:p w14:paraId="1C91C53B">
            <w:pPr>
              <w:snapToGrid w:val="0"/>
              <w:spacing w:line="360" w:lineRule="auto"/>
              <w:jc w:val="center"/>
              <w:rPr>
                <w:rFonts w:hint="eastAsia" w:ascii="宋体" w:hAnsi="宋体" w:cs="宋体"/>
              </w:rPr>
            </w:pPr>
          </w:p>
        </w:tc>
        <w:tc>
          <w:tcPr>
            <w:tcW w:w="2197" w:type="dxa"/>
            <w:tcBorders>
              <w:left w:val="single" w:color="auto" w:sz="4" w:space="0"/>
            </w:tcBorders>
            <w:vAlign w:val="center"/>
          </w:tcPr>
          <w:p w14:paraId="1F4837B6">
            <w:pPr>
              <w:snapToGrid w:val="0"/>
              <w:spacing w:line="360" w:lineRule="auto"/>
              <w:jc w:val="center"/>
              <w:rPr>
                <w:rFonts w:hint="eastAsia" w:ascii="宋体" w:hAnsi="宋体" w:cs="宋体"/>
              </w:rPr>
            </w:pPr>
          </w:p>
        </w:tc>
        <w:tc>
          <w:tcPr>
            <w:tcW w:w="2197" w:type="dxa"/>
            <w:vAlign w:val="center"/>
          </w:tcPr>
          <w:p w14:paraId="308DFB56">
            <w:pPr>
              <w:snapToGrid w:val="0"/>
              <w:spacing w:line="360" w:lineRule="auto"/>
              <w:jc w:val="center"/>
              <w:rPr>
                <w:rFonts w:hint="eastAsia" w:ascii="宋体" w:hAnsi="宋体" w:cs="宋体"/>
              </w:rPr>
            </w:pPr>
          </w:p>
        </w:tc>
        <w:tc>
          <w:tcPr>
            <w:tcW w:w="2013" w:type="dxa"/>
            <w:vAlign w:val="center"/>
          </w:tcPr>
          <w:p w14:paraId="51EFF140">
            <w:pPr>
              <w:snapToGrid w:val="0"/>
              <w:spacing w:line="360" w:lineRule="auto"/>
              <w:jc w:val="center"/>
              <w:rPr>
                <w:rFonts w:hint="eastAsia" w:ascii="宋体" w:hAnsi="宋体" w:cs="宋体"/>
              </w:rPr>
            </w:pPr>
          </w:p>
        </w:tc>
        <w:tc>
          <w:tcPr>
            <w:tcW w:w="1830" w:type="dxa"/>
            <w:vAlign w:val="center"/>
          </w:tcPr>
          <w:p w14:paraId="7D070A60">
            <w:pPr>
              <w:snapToGrid w:val="0"/>
              <w:spacing w:line="360" w:lineRule="auto"/>
              <w:jc w:val="center"/>
              <w:rPr>
                <w:rFonts w:hint="eastAsia" w:ascii="宋体" w:hAnsi="宋体" w:cs="宋体"/>
              </w:rPr>
            </w:pPr>
          </w:p>
        </w:tc>
      </w:tr>
      <w:tr w14:paraId="267FB0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659" w:type="dxa"/>
            <w:vAlign w:val="center"/>
          </w:tcPr>
          <w:p w14:paraId="552DDE26">
            <w:pPr>
              <w:snapToGrid w:val="0"/>
              <w:spacing w:line="360" w:lineRule="auto"/>
              <w:jc w:val="center"/>
              <w:rPr>
                <w:rFonts w:hint="eastAsia" w:ascii="宋体" w:hAnsi="宋体" w:cs="宋体"/>
              </w:rPr>
            </w:pPr>
          </w:p>
        </w:tc>
        <w:tc>
          <w:tcPr>
            <w:tcW w:w="732" w:type="dxa"/>
            <w:vMerge w:val="continue"/>
            <w:tcBorders>
              <w:left w:val="single" w:color="auto" w:sz="4" w:space="0"/>
              <w:right w:val="single" w:color="auto" w:sz="4" w:space="0"/>
            </w:tcBorders>
            <w:vAlign w:val="center"/>
          </w:tcPr>
          <w:p w14:paraId="5BB04B0B">
            <w:pPr>
              <w:snapToGrid w:val="0"/>
              <w:spacing w:line="360" w:lineRule="auto"/>
              <w:jc w:val="center"/>
              <w:rPr>
                <w:rFonts w:hint="eastAsia" w:ascii="宋体" w:hAnsi="宋体" w:cs="宋体"/>
              </w:rPr>
            </w:pPr>
          </w:p>
        </w:tc>
        <w:tc>
          <w:tcPr>
            <w:tcW w:w="2197" w:type="dxa"/>
            <w:tcBorders>
              <w:left w:val="single" w:color="auto" w:sz="4" w:space="0"/>
            </w:tcBorders>
            <w:vAlign w:val="center"/>
          </w:tcPr>
          <w:p w14:paraId="153BCCC6">
            <w:pPr>
              <w:snapToGrid w:val="0"/>
              <w:spacing w:line="360" w:lineRule="auto"/>
              <w:jc w:val="center"/>
              <w:rPr>
                <w:rFonts w:hint="eastAsia" w:ascii="宋体" w:hAnsi="宋体" w:cs="宋体"/>
              </w:rPr>
            </w:pPr>
          </w:p>
        </w:tc>
        <w:tc>
          <w:tcPr>
            <w:tcW w:w="2197" w:type="dxa"/>
            <w:vAlign w:val="center"/>
          </w:tcPr>
          <w:p w14:paraId="322B915C">
            <w:pPr>
              <w:snapToGrid w:val="0"/>
              <w:spacing w:line="360" w:lineRule="auto"/>
              <w:jc w:val="center"/>
              <w:rPr>
                <w:rFonts w:hint="eastAsia" w:ascii="宋体" w:hAnsi="宋体" w:cs="宋体"/>
              </w:rPr>
            </w:pPr>
          </w:p>
        </w:tc>
        <w:tc>
          <w:tcPr>
            <w:tcW w:w="2013" w:type="dxa"/>
            <w:vAlign w:val="center"/>
          </w:tcPr>
          <w:p w14:paraId="4C74508F">
            <w:pPr>
              <w:snapToGrid w:val="0"/>
              <w:spacing w:line="360" w:lineRule="auto"/>
              <w:jc w:val="center"/>
              <w:rPr>
                <w:rFonts w:hint="eastAsia" w:ascii="宋体" w:hAnsi="宋体" w:cs="宋体"/>
              </w:rPr>
            </w:pPr>
          </w:p>
        </w:tc>
        <w:tc>
          <w:tcPr>
            <w:tcW w:w="1830" w:type="dxa"/>
            <w:vAlign w:val="center"/>
          </w:tcPr>
          <w:p w14:paraId="25436B7F">
            <w:pPr>
              <w:snapToGrid w:val="0"/>
              <w:spacing w:line="360" w:lineRule="auto"/>
              <w:jc w:val="center"/>
              <w:rPr>
                <w:rFonts w:hint="eastAsia" w:ascii="宋体" w:hAnsi="宋体" w:cs="宋体"/>
              </w:rPr>
            </w:pPr>
          </w:p>
        </w:tc>
      </w:tr>
      <w:tr w14:paraId="32217F4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659" w:type="dxa"/>
            <w:vAlign w:val="center"/>
          </w:tcPr>
          <w:p w14:paraId="0B9165B9">
            <w:pPr>
              <w:snapToGrid w:val="0"/>
              <w:spacing w:line="360" w:lineRule="auto"/>
              <w:jc w:val="center"/>
              <w:rPr>
                <w:rFonts w:hint="eastAsia" w:ascii="宋体" w:hAnsi="宋体" w:cs="宋体"/>
              </w:rPr>
            </w:pPr>
          </w:p>
        </w:tc>
        <w:tc>
          <w:tcPr>
            <w:tcW w:w="732" w:type="dxa"/>
            <w:vMerge w:val="restart"/>
            <w:tcBorders>
              <w:left w:val="single" w:color="auto" w:sz="4" w:space="0"/>
              <w:right w:val="single" w:color="auto" w:sz="4" w:space="0"/>
            </w:tcBorders>
            <w:vAlign w:val="center"/>
          </w:tcPr>
          <w:p w14:paraId="63F827DF">
            <w:pPr>
              <w:snapToGrid w:val="0"/>
              <w:spacing w:line="360" w:lineRule="auto"/>
              <w:jc w:val="center"/>
              <w:rPr>
                <w:rFonts w:hint="eastAsia" w:ascii="宋体" w:hAnsi="宋体" w:cs="宋体"/>
              </w:rPr>
            </w:pPr>
            <w:r>
              <w:rPr>
                <w:rFonts w:hint="eastAsia" w:ascii="宋体" w:hAnsi="宋体" w:cs="宋体"/>
              </w:rPr>
              <w:t>技术偏离</w:t>
            </w:r>
          </w:p>
        </w:tc>
        <w:tc>
          <w:tcPr>
            <w:tcW w:w="2197" w:type="dxa"/>
            <w:tcBorders>
              <w:left w:val="single" w:color="auto" w:sz="4" w:space="0"/>
            </w:tcBorders>
            <w:vAlign w:val="center"/>
          </w:tcPr>
          <w:p w14:paraId="421E82A8">
            <w:pPr>
              <w:snapToGrid w:val="0"/>
              <w:spacing w:line="360" w:lineRule="auto"/>
              <w:jc w:val="center"/>
              <w:rPr>
                <w:rFonts w:hint="eastAsia" w:ascii="宋体" w:hAnsi="宋体" w:cs="宋体"/>
              </w:rPr>
            </w:pPr>
          </w:p>
        </w:tc>
        <w:tc>
          <w:tcPr>
            <w:tcW w:w="2197" w:type="dxa"/>
            <w:vAlign w:val="center"/>
          </w:tcPr>
          <w:p w14:paraId="27874F68">
            <w:pPr>
              <w:snapToGrid w:val="0"/>
              <w:spacing w:line="360" w:lineRule="auto"/>
              <w:jc w:val="center"/>
              <w:rPr>
                <w:rFonts w:hint="eastAsia" w:ascii="宋体" w:hAnsi="宋体" w:cs="宋体"/>
              </w:rPr>
            </w:pPr>
          </w:p>
        </w:tc>
        <w:tc>
          <w:tcPr>
            <w:tcW w:w="2013" w:type="dxa"/>
            <w:vAlign w:val="center"/>
          </w:tcPr>
          <w:p w14:paraId="0CFE2399">
            <w:pPr>
              <w:snapToGrid w:val="0"/>
              <w:spacing w:line="360" w:lineRule="auto"/>
              <w:jc w:val="center"/>
              <w:rPr>
                <w:rFonts w:hint="eastAsia" w:ascii="宋体" w:hAnsi="宋体" w:cs="宋体"/>
              </w:rPr>
            </w:pPr>
          </w:p>
        </w:tc>
        <w:tc>
          <w:tcPr>
            <w:tcW w:w="1830" w:type="dxa"/>
            <w:vAlign w:val="center"/>
          </w:tcPr>
          <w:p w14:paraId="0CA85DC1">
            <w:pPr>
              <w:snapToGrid w:val="0"/>
              <w:spacing w:line="360" w:lineRule="auto"/>
              <w:jc w:val="center"/>
              <w:rPr>
                <w:rFonts w:hint="eastAsia" w:ascii="宋体" w:hAnsi="宋体" w:cs="宋体"/>
              </w:rPr>
            </w:pPr>
          </w:p>
        </w:tc>
      </w:tr>
      <w:tr w14:paraId="1802067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659" w:type="dxa"/>
            <w:vAlign w:val="center"/>
          </w:tcPr>
          <w:p w14:paraId="4A1D3357">
            <w:pPr>
              <w:snapToGrid w:val="0"/>
              <w:spacing w:line="360" w:lineRule="auto"/>
              <w:jc w:val="center"/>
              <w:rPr>
                <w:rFonts w:hint="eastAsia" w:ascii="宋体" w:hAnsi="宋体" w:cs="宋体"/>
              </w:rPr>
            </w:pPr>
          </w:p>
        </w:tc>
        <w:tc>
          <w:tcPr>
            <w:tcW w:w="732" w:type="dxa"/>
            <w:vMerge w:val="continue"/>
            <w:tcBorders>
              <w:left w:val="single" w:color="auto" w:sz="4" w:space="0"/>
              <w:right w:val="single" w:color="auto" w:sz="4" w:space="0"/>
            </w:tcBorders>
            <w:vAlign w:val="center"/>
          </w:tcPr>
          <w:p w14:paraId="5D477B4D">
            <w:pPr>
              <w:snapToGrid w:val="0"/>
              <w:spacing w:line="360" w:lineRule="auto"/>
              <w:jc w:val="center"/>
              <w:rPr>
                <w:rFonts w:hint="eastAsia" w:ascii="宋体" w:hAnsi="宋体" w:cs="宋体"/>
              </w:rPr>
            </w:pPr>
          </w:p>
        </w:tc>
        <w:tc>
          <w:tcPr>
            <w:tcW w:w="2197" w:type="dxa"/>
            <w:tcBorders>
              <w:left w:val="single" w:color="auto" w:sz="4" w:space="0"/>
            </w:tcBorders>
            <w:vAlign w:val="center"/>
          </w:tcPr>
          <w:p w14:paraId="1A522BFD">
            <w:pPr>
              <w:snapToGrid w:val="0"/>
              <w:spacing w:line="360" w:lineRule="auto"/>
              <w:jc w:val="center"/>
              <w:rPr>
                <w:rFonts w:hint="eastAsia" w:ascii="宋体" w:hAnsi="宋体" w:cs="宋体"/>
              </w:rPr>
            </w:pPr>
          </w:p>
        </w:tc>
        <w:tc>
          <w:tcPr>
            <w:tcW w:w="2197" w:type="dxa"/>
            <w:vAlign w:val="center"/>
          </w:tcPr>
          <w:p w14:paraId="5D6E5BC8">
            <w:pPr>
              <w:snapToGrid w:val="0"/>
              <w:spacing w:line="360" w:lineRule="auto"/>
              <w:jc w:val="center"/>
              <w:rPr>
                <w:rFonts w:hint="eastAsia" w:ascii="宋体" w:hAnsi="宋体" w:cs="宋体"/>
              </w:rPr>
            </w:pPr>
          </w:p>
        </w:tc>
        <w:tc>
          <w:tcPr>
            <w:tcW w:w="2013" w:type="dxa"/>
            <w:vAlign w:val="center"/>
          </w:tcPr>
          <w:p w14:paraId="6DC3DD72">
            <w:pPr>
              <w:snapToGrid w:val="0"/>
              <w:spacing w:line="360" w:lineRule="auto"/>
              <w:jc w:val="center"/>
              <w:rPr>
                <w:rFonts w:hint="eastAsia" w:ascii="宋体" w:hAnsi="宋体" w:cs="宋体"/>
              </w:rPr>
            </w:pPr>
          </w:p>
        </w:tc>
        <w:tc>
          <w:tcPr>
            <w:tcW w:w="1830" w:type="dxa"/>
            <w:vAlign w:val="center"/>
          </w:tcPr>
          <w:p w14:paraId="0E135DCC">
            <w:pPr>
              <w:snapToGrid w:val="0"/>
              <w:spacing w:line="360" w:lineRule="auto"/>
              <w:jc w:val="center"/>
              <w:rPr>
                <w:rFonts w:hint="eastAsia" w:ascii="宋体" w:hAnsi="宋体" w:cs="宋体"/>
              </w:rPr>
            </w:pPr>
          </w:p>
        </w:tc>
      </w:tr>
      <w:tr w14:paraId="1B0475C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659" w:type="dxa"/>
            <w:vAlign w:val="center"/>
          </w:tcPr>
          <w:p w14:paraId="20BFF022">
            <w:pPr>
              <w:snapToGrid w:val="0"/>
              <w:spacing w:line="360" w:lineRule="auto"/>
              <w:jc w:val="center"/>
              <w:rPr>
                <w:rFonts w:hint="eastAsia" w:ascii="宋体" w:hAnsi="宋体" w:cs="宋体"/>
              </w:rPr>
            </w:pPr>
          </w:p>
        </w:tc>
        <w:tc>
          <w:tcPr>
            <w:tcW w:w="732" w:type="dxa"/>
            <w:vMerge w:val="continue"/>
            <w:tcBorders>
              <w:left w:val="single" w:color="auto" w:sz="4" w:space="0"/>
              <w:right w:val="single" w:color="auto" w:sz="4" w:space="0"/>
            </w:tcBorders>
            <w:vAlign w:val="center"/>
          </w:tcPr>
          <w:p w14:paraId="7E6C1274">
            <w:pPr>
              <w:snapToGrid w:val="0"/>
              <w:spacing w:line="360" w:lineRule="auto"/>
              <w:jc w:val="center"/>
              <w:rPr>
                <w:rFonts w:hint="eastAsia" w:ascii="宋体" w:hAnsi="宋体" w:cs="宋体"/>
              </w:rPr>
            </w:pPr>
          </w:p>
        </w:tc>
        <w:tc>
          <w:tcPr>
            <w:tcW w:w="2197" w:type="dxa"/>
            <w:tcBorders>
              <w:left w:val="single" w:color="auto" w:sz="4" w:space="0"/>
            </w:tcBorders>
            <w:vAlign w:val="center"/>
          </w:tcPr>
          <w:p w14:paraId="130CDEA2">
            <w:pPr>
              <w:snapToGrid w:val="0"/>
              <w:spacing w:line="360" w:lineRule="auto"/>
              <w:jc w:val="center"/>
              <w:rPr>
                <w:rFonts w:hint="eastAsia" w:ascii="宋体" w:hAnsi="宋体" w:cs="宋体"/>
              </w:rPr>
            </w:pPr>
          </w:p>
        </w:tc>
        <w:tc>
          <w:tcPr>
            <w:tcW w:w="2197" w:type="dxa"/>
            <w:vAlign w:val="center"/>
          </w:tcPr>
          <w:p w14:paraId="6FC5B54E">
            <w:pPr>
              <w:snapToGrid w:val="0"/>
              <w:spacing w:line="360" w:lineRule="auto"/>
              <w:jc w:val="center"/>
              <w:rPr>
                <w:rFonts w:hint="eastAsia" w:ascii="宋体" w:hAnsi="宋体" w:cs="宋体"/>
              </w:rPr>
            </w:pPr>
          </w:p>
        </w:tc>
        <w:tc>
          <w:tcPr>
            <w:tcW w:w="2013" w:type="dxa"/>
            <w:vAlign w:val="center"/>
          </w:tcPr>
          <w:p w14:paraId="0EC963FB">
            <w:pPr>
              <w:snapToGrid w:val="0"/>
              <w:spacing w:line="360" w:lineRule="auto"/>
              <w:jc w:val="center"/>
              <w:rPr>
                <w:rFonts w:hint="eastAsia" w:ascii="宋体" w:hAnsi="宋体" w:cs="宋体"/>
              </w:rPr>
            </w:pPr>
          </w:p>
        </w:tc>
        <w:tc>
          <w:tcPr>
            <w:tcW w:w="1830" w:type="dxa"/>
            <w:vAlign w:val="center"/>
          </w:tcPr>
          <w:p w14:paraId="5F0D445C">
            <w:pPr>
              <w:snapToGrid w:val="0"/>
              <w:spacing w:line="360" w:lineRule="auto"/>
              <w:jc w:val="center"/>
              <w:rPr>
                <w:rFonts w:hint="eastAsia" w:ascii="宋体" w:hAnsi="宋体" w:cs="宋体"/>
              </w:rPr>
            </w:pPr>
          </w:p>
        </w:tc>
      </w:tr>
      <w:tr w14:paraId="1DF13E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659" w:type="dxa"/>
            <w:vAlign w:val="center"/>
          </w:tcPr>
          <w:p w14:paraId="15266261">
            <w:pPr>
              <w:snapToGrid w:val="0"/>
              <w:spacing w:line="360" w:lineRule="auto"/>
              <w:jc w:val="center"/>
              <w:rPr>
                <w:rFonts w:hint="eastAsia" w:ascii="宋体" w:hAnsi="宋体" w:cs="宋体"/>
              </w:rPr>
            </w:pPr>
          </w:p>
        </w:tc>
        <w:tc>
          <w:tcPr>
            <w:tcW w:w="732" w:type="dxa"/>
            <w:vMerge w:val="continue"/>
            <w:tcBorders>
              <w:left w:val="single" w:color="auto" w:sz="4" w:space="0"/>
              <w:right w:val="single" w:color="auto" w:sz="4" w:space="0"/>
            </w:tcBorders>
            <w:vAlign w:val="center"/>
          </w:tcPr>
          <w:p w14:paraId="7C98E0FA">
            <w:pPr>
              <w:snapToGrid w:val="0"/>
              <w:spacing w:line="360" w:lineRule="auto"/>
              <w:jc w:val="center"/>
              <w:rPr>
                <w:rFonts w:hint="eastAsia" w:ascii="宋体" w:hAnsi="宋体" w:cs="宋体"/>
              </w:rPr>
            </w:pPr>
          </w:p>
        </w:tc>
        <w:tc>
          <w:tcPr>
            <w:tcW w:w="2197" w:type="dxa"/>
            <w:tcBorders>
              <w:left w:val="single" w:color="auto" w:sz="4" w:space="0"/>
            </w:tcBorders>
            <w:vAlign w:val="center"/>
          </w:tcPr>
          <w:p w14:paraId="0FFBCA70">
            <w:pPr>
              <w:snapToGrid w:val="0"/>
              <w:spacing w:line="360" w:lineRule="auto"/>
              <w:jc w:val="center"/>
              <w:rPr>
                <w:rFonts w:hint="eastAsia" w:ascii="宋体" w:hAnsi="宋体" w:cs="宋体"/>
              </w:rPr>
            </w:pPr>
          </w:p>
        </w:tc>
        <w:tc>
          <w:tcPr>
            <w:tcW w:w="2197" w:type="dxa"/>
            <w:vAlign w:val="center"/>
          </w:tcPr>
          <w:p w14:paraId="4991E8A7">
            <w:pPr>
              <w:snapToGrid w:val="0"/>
              <w:spacing w:line="360" w:lineRule="auto"/>
              <w:jc w:val="center"/>
              <w:rPr>
                <w:rFonts w:hint="eastAsia" w:ascii="宋体" w:hAnsi="宋体" w:cs="宋体"/>
              </w:rPr>
            </w:pPr>
          </w:p>
        </w:tc>
        <w:tc>
          <w:tcPr>
            <w:tcW w:w="2013" w:type="dxa"/>
            <w:vAlign w:val="center"/>
          </w:tcPr>
          <w:p w14:paraId="7D9730D2">
            <w:pPr>
              <w:snapToGrid w:val="0"/>
              <w:spacing w:line="360" w:lineRule="auto"/>
              <w:jc w:val="center"/>
              <w:rPr>
                <w:rFonts w:hint="eastAsia" w:ascii="宋体" w:hAnsi="宋体" w:cs="宋体"/>
              </w:rPr>
            </w:pPr>
          </w:p>
        </w:tc>
        <w:tc>
          <w:tcPr>
            <w:tcW w:w="1830" w:type="dxa"/>
            <w:vAlign w:val="center"/>
          </w:tcPr>
          <w:p w14:paraId="2C38E68B">
            <w:pPr>
              <w:snapToGrid w:val="0"/>
              <w:spacing w:line="360" w:lineRule="auto"/>
              <w:jc w:val="center"/>
              <w:rPr>
                <w:rFonts w:hint="eastAsia" w:ascii="宋体" w:hAnsi="宋体" w:cs="宋体"/>
              </w:rPr>
            </w:pPr>
          </w:p>
        </w:tc>
      </w:tr>
      <w:tr w14:paraId="296DA1D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659" w:type="dxa"/>
            <w:vAlign w:val="center"/>
          </w:tcPr>
          <w:p w14:paraId="4B063C84">
            <w:pPr>
              <w:snapToGrid w:val="0"/>
              <w:spacing w:line="360" w:lineRule="auto"/>
              <w:jc w:val="center"/>
              <w:rPr>
                <w:rFonts w:hint="eastAsia" w:ascii="宋体" w:hAnsi="宋体" w:cs="宋体"/>
              </w:rPr>
            </w:pPr>
          </w:p>
        </w:tc>
        <w:tc>
          <w:tcPr>
            <w:tcW w:w="732" w:type="dxa"/>
            <w:vMerge w:val="continue"/>
            <w:tcBorders>
              <w:left w:val="single" w:color="auto" w:sz="4" w:space="0"/>
              <w:right w:val="single" w:color="auto" w:sz="4" w:space="0"/>
            </w:tcBorders>
            <w:vAlign w:val="center"/>
          </w:tcPr>
          <w:p w14:paraId="494C7AAE">
            <w:pPr>
              <w:snapToGrid w:val="0"/>
              <w:spacing w:line="360" w:lineRule="auto"/>
              <w:jc w:val="center"/>
              <w:rPr>
                <w:rFonts w:hint="eastAsia" w:ascii="宋体" w:hAnsi="宋体" w:cs="宋体"/>
              </w:rPr>
            </w:pPr>
          </w:p>
        </w:tc>
        <w:tc>
          <w:tcPr>
            <w:tcW w:w="2197" w:type="dxa"/>
            <w:tcBorders>
              <w:left w:val="single" w:color="auto" w:sz="4" w:space="0"/>
            </w:tcBorders>
            <w:vAlign w:val="center"/>
          </w:tcPr>
          <w:p w14:paraId="160B402D">
            <w:pPr>
              <w:snapToGrid w:val="0"/>
              <w:spacing w:line="360" w:lineRule="auto"/>
              <w:jc w:val="center"/>
              <w:rPr>
                <w:rFonts w:hint="eastAsia" w:ascii="宋体" w:hAnsi="宋体" w:cs="宋体"/>
              </w:rPr>
            </w:pPr>
          </w:p>
        </w:tc>
        <w:tc>
          <w:tcPr>
            <w:tcW w:w="2197" w:type="dxa"/>
            <w:vAlign w:val="center"/>
          </w:tcPr>
          <w:p w14:paraId="48A9C574">
            <w:pPr>
              <w:snapToGrid w:val="0"/>
              <w:spacing w:line="360" w:lineRule="auto"/>
              <w:jc w:val="center"/>
              <w:rPr>
                <w:rFonts w:hint="eastAsia" w:ascii="宋体" w:hAnsi="宋体" w:cs="宋体"/>
              </w:rPr>
            </w:pPr>
          </w:p>
        </w:tc>
        <w:tc>
          <w:tcPr>
            <w:tcW w:w="2013" w:type="dxa"/>
            <w:vAlign w:val="center"/>
          </w:tcPr>
          <w:p w14:paraId="3408DB71">
            <w:pPr>
              <w:snapToGrid w:val="0"/>
              <w:spacing w:line="360" w:lineRule="auto"/>
              <w:jc w:val="center"/>
              <w:rPr>
                <w:rFonts w:hint="eastAsia" w:ascii="宋体" w:hAnsi="宋体" w:cs="宋体"/>
              </w:rPr>
            </w:pPr>
          </w:p>
        </w:tc>
        <w:tc>
          <w:tcPr>
            <w:tcW w:w="1830" w:type="dxa"/>
            <w:vAlign w:val="center"/>
          </w:tcPr>
          <w:p w14:paraId="52D751E5">
            <w:pPr>
              <w:snapToGrid w:val="0"/>
              <w:spacing w:line="360" w:lineRule="auto"/>
              <w:jc w:val="center"/>
              <w:rPr>
                <w:rFonts w:hint="eastAsia" w:ascii="宋体" w:hAnsi="宋体" w:cs="宋体"/>
              </w:rPr>
            </w:pPr>
          </w:p>
        </w:tc>
      </w:tr>
      <w:tr w14:paraId="46DD9AF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659" w:type="dxa"/>
            <w:vAlign w:val="center"/>
          </w:tcPr>
          <w:p w14:paraId="6DE6CBA2">
            <w:pPr>
              <w:snapToGrid w:val="0"/>
              <w:spacing w:line="360" w:lineRule="auto"/>
              <w:jc w:val="center"/>
              <w:rPr>
                <w:rFonts w:hint="eastAsia" w:ascii="宋体" w:hAnsi="宋体" w:cs="宋体"/>
              </w:rPr>
            </w:pPr>
          </w:p>
        </w:tc>
        <w:tc>
          <w:tcPr>
            <w:tcW w:w="732" w:type="dxa"/>
            <w:vMerge w:val="continue"/>
            <w:tcBorders>
              <w:left w:val="single" w:color="auto" w:sz="4" w:space="0"/>
              <w:right w:val="single" w:color="auto" w:sz="4" w:space="0"/>
            </w:tcBorders>
            <w:vAlign w:val="center"/>
          </w:tcPr>
          <w:p w14:paraId="4A1F02D5">
            <w:pPr>
              <w:snapToGrid w:val="0"/>
              <w:spacing w:line="360" w:lineRule="auto"/>
              <w:jc w:val="center"/>
              <w:rPr>
                <w:rFonts w:hint="eastAsia" w:ascii="宋体" w:hAnsi="宋体" w:cs="宋体"/>
              </w:rPr>
            </w:pPr>
          </w:p>
        </w:tc>
        <w:tc>
          <w:tcPr>
            <w:tcW w:w="2197" w:type="dxa"/>
            <w:tcBorders>
              <w:left w:val="single" w:color="auto" w:sz="4" w:space="0"/>
            </w:tcBorders>
            <w:vAlign w:val="center"/>
          </w:tcPr>
          <w:p w14:paraId="22BC7E52">
            <w:pPr>
              <w:snapToGrid w:val="0"/>
              <w:spacing w:line="360" w:lineRule="auto"/>
              <w:jc w:val="center"/>
              <w:rPr>
                <w:rFonts w:hint="eastAsia" w:ascii="宋体" w:hAnsi="宋体" w:cs="宋体"/>
              </w:rPr>
            </w:pPr>
          </w:p>
        </w:tc>
        <w:tc>
          <w:tcPr>
            <w:tcW w:w="2197" w:type="dxa"/>
            <w:vAlign w:val="center"/>
          </w:tcPr>
          <w:p w14:paraId="3446DA92">
            <w:pPr>
              <w:snapToGrid w:val="0"/>
              <w:spacing w:line="360" w:lineRule="auto"/>
              <w:jc w:val="center"/>
              <w:rPr>
                <w:rFonts w:hint="eastAsia" w:ascii="宋体" w:hAnsi="宋体" w:cs="宋体"/>
              </w:rPr>
            </w:pPr>
          </w:p>
        </w:tc>
        <w:tc>
          <w:tcPr>
            <w:tcW w:w="2013" w:type="dxa"/>
            <w:vAlign w:val="center"/>
          </w:tcPr>
          <w:p w14:paraId="1D3BD128">
            <w:pPr>
              <w:snapToGrid w:val="0"/>
              <w:spacing w:line="360" w:lineRule="auto"/>
              <w:jc w:val="center"/>
              <w:rPr>
                <w:rFonts w:hint="eastAsia" w:ascii="宋体" w:hAnsi="宋体" w:cs="宋体"/>
              </w:rPr>
            </w:pPr>
          </w:p>
        </w:tc>
        <w:tc>
          <w:tcPr>
            <w:tcW w:w="1830" w:type="dxa"/>
            <w:vAlign w:val="center"/>
          </w:tcPr>
          <w:p w14:paraId="1AD3B543">
            <w:pPr>
              <w:snapToGrid w:val="0"/>
              <w:spacing w:line="360" w:lineRule="auto"/>
              <w:jc w:val="center"/>
              <w:rPr>
                <w:rFonts w:hint="eastAsia" w:ascii="宋体" w:hAnsi="宋体" w:cs="宋体"/>
              </w:rPr>
            </w:pPr>
          </w:p>
        </w:tc>
      </w:tr>
    </w:tbl>
    <w:p w14:paraId="3E8FB8F9">
      <w:pPr>
        <w:spacing w:line="360" w:lineRule="auto"/>
        <w:rPr>
          <w:rFonts w:hint="eastAsia" w:ascii="宋体" w:hAnsi="宋体" w:cs="宋体"/>
        </w:rPr>
      </w:pPr>
      <w:r>
        <w:rPr>
          <w:rFonts w:hint="eastAsia" w:ascii="宋体" w:hAnsi="宋体" w:cs="宋体"/>
        </w:rPr>
        <w:t>填表说明：对招标文件有任何偏离（包括正偏离及负偏离）均应汇总并填写在此表中，不填写此表视作完全响应本招标文件要求。</w:t>
      </w:r>
    </w:p>
    <w:p w14:paraId="2AB7F2DD">
      <w:pPr>
        <w:spacing w:line="360" w:lineRule="auto"/>
        <w:rPr>
          <w:rFonts w:hint="eastAsia" w:ascii="宋体" w:hAnsi="宋体" w:cs="宋体"/>
        </w:rPr>
      </w:pPr>
    </w:p>
    <w:p w14:paraId="6DECC9EB">
      <w:pPr>
        <w:adjustRightInd w:val="0"/>
        <w:snapToGrid w:val="0"/>
        <w:spacing w:line="360" w:lineRule="auto"/>
        <w:ind w:firstLine="420" w:firstLineChars="200"/>
        <w:rPr>
          <w:rFonts w:hint="eastAsia" w:ascii="宋体" w:hAnsi="宋体" w:cs="宋体"/>
        </w:rPr>
      </w:pPr>
      <w:r>
        <w:rPr>
          <w:rFonts w:hint="eastAsia" w:ascii="宋体" w:hAnsi="宋体" w:cs="宋体"/>
        </w:rPr>
        <w:t xml:space="preserve">供应商全称（电子印章）：   </w:t>
      </w:r>
    </w:p>
    <w:p w14:paraId="300B4112">
      <w:pPr>
        <w:adjustRightInd w:val="0"/>
        <w:snapToGrid w:val="0"/>
        <w:spacing w:line="360" w:lineRule="auto"/>
        <w:ind w:firstLine="420" w:firstLineChars="200"/>
        <w:rPr>
          <w:rFonts w:hint="eastAsia" w:ascii="宋体" w:hAnsi="宋体" w:cs="宋体"/>
        </w:rPr>
      </w:pPr>
      <w:r>
        <w:rPr>
          <w:rFonts w:hint="eastAsia" w:ascii="宋体" w:hAnsi="宋体" w:cs="宋体"/>
        </w:rPr>
        <w:t>日期：</w:t>
      </w:r>
    </w:p>
    <w:p w14:paraId="3ACC1D64">
      <w:pPr>
        <w:pStyle w:val="4"/>
        <w:ind w:firstLine="0" w:firstLineChars="0"/>
        <w:rPr>
          <w:rFonts w:hint="eastAsia" w:ascii="宋体" w:hAnsi="宋体" w:cs="宋体"/>
        </w:rPr>
      </w:pPr>
      <w:r>
        <w:rPr>
          <w:rFonts w:hint="eastAsia" w:ascii="宋体" w:hAnsi="宋体" w:cs="宋体"/>
          <w:sz w:val="32"/>
        </w:rPr>
        <w:br w:type="page"/>
      </w:r>
      <w:bookmarkStart w:id="77" w:name="_Toc245088215"/>
      <w:bookmarkStart w:id="78" w:name="_Toc519160215"/>
      <w:bookmarkStart w:id="79" w:name="_Toc25223"/>
      <w:bookmarkStart w:id="80" w:name="_Toc12603"/>
      <w:bookmarkStart w:id="81" w:name="_Toc3020"/>
      <w:bookmarkStart w:id="82" w:name="_Toc467745182"/>
      <w:bookmarkStart w:id="83" w:name="_Toc10233"/>
      <w:bookmarkStart w:id="84" w:name="_Toc18125"/>
      <w:bookmarkStart w:id="85" w:name="_Toc9019"/>
      <w:bookmarkStart w:id="86" w:name="_Toc345575550"/>
      <w:r>
        <w:rPr>
          <w:rFonts w:hint="eastAsia" w:ascii="宋体" w:hAnsi="宋体" w:cs="宋体"/>
        </w:rPr>
        <w:t>五、供应商声明</w:t>
      </w:r>
      <w:bookmarkEnd w:id="77"/>
      <w:r>
        <w:rPr>
          <w:rFonts w:hint="eastAsia" w:ascii="宋体" w:hAnsi="宋体" w:cs="宋体"/>
        </w:rPr>
        <w:t>函</w:t>
      </w:r>
      <w:bookmarkEnd w:id="78"/>
      <w:bookmarkEnd w:id="79"/>
      <w:bookmarkEnd w:id="80"/>
      <w:bookmarkEnd w:id="81"/>
      <w:bookmarkEnd w:id="82"/>
      <w:bookmarkEnd w:id="83"/>
      <w:bookmarkEnd w:id="84"/>
      <w:bookmarkEnd w:id="85"/>
      <w:bookmarkEnd w:id="86"/>
    </w:p>
    <w:p w14:paraId="4390549A">
      <w:pPr>
        <w:adjustRightInd w:val="0"/>
        <w:spacing w:line="360" w:lineRule="auto"/>
        <w:ind w:firstLine="420" w:firstLineChars="200"/>
        <w:rPr>
          <w:rFonts w:hint="eastAsia" w:ascii="宋体" w:hAnsi="宋体" w:cs="宋体"/>
          <w:szCs w:val="21"/>
        </w:rPr>
      </w:pPr>
      <w:r>
        <w:rPr>
          <w:rFonts w:hint="eastAsia" w:ascii="宋体" w:hAnsi="宋体" w:cs="宋体"/>
          <w:szCs w:val="21"/>
        </w:rPr>
        <w:t>本供应商在本响应文件中所提供的内容均为真实有效，如经采购人的核查存在有弄虚作假情况，愿按有关法律法规接受处罚。</w:t>
      </w:r>
    </w:p>
    <w:p w14:paraId="130A7888">
      <w:pPr>
        <w:adjustRightInd w:val="0"/>
        <w:spacing w:line="360" w:lineRule="auto"/>
        <w:ind w:firstLine="420" w:firstLineChars="200"/>
        <w:rPr>
          <w:rFonts w:hint="eastAsia" w:ascii="宋体" w:hAnsi="宋体" w:cs="宋体"/>
          <w:szCs w:val="21"/>
        </w:rPr>
      </w:pPr>
      <w:r>
        <w:rPr>
          <w:rFonts w:hint="eastAsia" w:ascii="宋体" w:hAnsi="宋体" w:cs="宋体"/>
          <w:szCs w:val="21"/>
        </w:rPr>
        <w:t>特此声明。</w:t>
      </w:r>
    </w:p>
    <w:p w14:paraId="13BEB20E">
      <w:pPr>
        <w:adjustRightInd w:val="0"/>
        <w:snapToGrid w:val="0"/>
        <w:spacing w:line="360" w:lineRule="auto"/>
        <w:ind w:firstLine="420" w:firstLineChars="200"/>
        <w:rPr>
          <w:rFonts w:hint="eastAsia" w:ascii="宋体" w:hAnsi="宋体" w:cs="宋体"/>
        </w:rPr>
      </w:pPr>
    </w:p>
    <w:p w14:paraId="15C182DA">
      <w:pPr>
        <w:adjustRightInd w:val="0"/>
        <w:snapToGrid w:val="0"/>
        <w:spacing w:line="360" w:lineRule="auto"/>
        <w:ind w:firstLine="420" w:firstLineChars="200"/>
        <w:rPr>
          <w:rFonts w:hint="eastAsia" w:ascii="宋体" w:hAnsi="宋体" w:cs="宋体"/>
        </w:rPr>
      </w:pPr>
      <w:r>
        <w:rPr>
          <w:rFonts w:hint="eastAsia" w:ascii="宋体" w:hAnsi="宋体" w:cs="宋体"/>
        </w:rPr>
        <w:t xml:space="preserve">供应商全称（电子印章）：    </w:t>
      </w:r>
    </w:p>
    <w:p w14:paraId="3BC5AEC7">
      <w:pPr>
        <w:adjustRightInd w:val="0"/>
        <w:snapToGrid w:val="0"/>
        <w:spacing w:line="360" w:lineRule="auto"/>
        <w:ind w:firstLine="420" w:firstLineChars="200"/>
        <w:rPr>
          <w:rFonts w:hint="eastAsia" w:ascii="宋体" w:hAnsi="宋体" w:cs="宋体"/>
        </w:rPr>
      </w:pPr>
      <w:r>
        <w:rPr>
          <w:rFonts w:hint="eastAsia" w:ascii="宋体" w:hAnsi="宋体" w:cs="宋体"/>
        </w:rPr>
        <w:t>日期：</w:t>
      </w:r>
    </w:p>
    <w:p w14:paraId="29CECA02">
      <w:pPr>
        <w:spacing w:line="360" w:lineRule="auto"/>
        <w:ind w:firstLine="480"/>
        <w:rPr>
          <w:rFonts w:hint="eastAsia" w:ascii="宋体" w:hAnsi="宋体" w:cs="宋体"/>
          <w:szCs w:val="21"/>
        </w:rPr>
      </w:pPr>
    </w:p>
    <w:p w14:paraId="7D286DAA">
      <w:pPr>
        <w:pStyle w:val="21"/>
        <w:snapToGrid w:val="0"/>
        <w:spacing w:line="360" w:lineRule="auto"/>
        <w:ind w:left="0" w:leftChars="0" w:firstLine="0" w:firstLineChars="0"/>
        <w:rPr>
          <w:rFonts w:hint="eastAsia" w:ascii="宋体" w:hAnsi="宋体" w:cs="宋体"/>
          <w:spacing w:val="20"/>
        </w:rPr>
      </w:pPr>
    </w:p>
    <w:p w14:paraId="130402C7">
      <w:pPr>
        <w:pStyle w:val="21"/>
        <w:snapToGrid w:val="0"/>
        <w:spacing w:line="360" w:lineRule="auto"/>
        <w:ind w:left="0" w:leftChars="0" w:firstLine="0" w:firstLineChars="0"/>
        <w:rPr>
          <w:rFonts w:hint="eastAsia" w:ascii="宋体" w:hAnsi="宋体" w:cs="宋体"/>
          <w:spacing w:val="20"/>
        </w:rPr>
      </w:pPr>
    </w:p>
    <w:p w14:paraId="1BEB550D">
      <w:pPr>
        <w:pStyle w:val="21"/>
        <w:snapToGrid w:val="0"/>
        <w:spacing w:line="360" w:lineRule="auto"/>
        <w:ind w:left="0" w:leftChars="0" w:firstLine="0" w:firstLineChars="0"/>
        <w:rPr>
          <w:rFonts w:hint="eastAsia" w:ascii="宋体" w:hAnsi="宋体" w:cs="宋体"/>
          <w:spacing w:val="20"/>
        </w:rPr>
      </w:pPr>
    </w:p>
    <w:p w14:paraId="2E2A9583">
      <w:pPr>
        <w:pStyle w:val="21"/>
        <w:snapToGrid w:val="0"/>
        <w:spacing w:line="360" w:lineRule="auto"/>
        <w:ind w:left="0" w:leftChars="0" w:firstLine="0" w:firstLineChars="0"/>
        <w:rPr>
          <w:rFonts w:hint="eastAsia" w:ascii="宋体" w:hAnsi="宋体" w:cs="宋体"/>
          <w:spacing w:val="20"/>
        </w:rPr>
      </w:pPr>
    </w:p>
    <w:p w14:paraId="32B68880">
      <w:pPr>
        <w:pStyle w:val="21"/>
        <w:snapToGrid w:val="0"/>
        <w:spacing w:line="360" w:lineRule="auto"/>
        <w:ind w:left="0" w:leftChars="0" w:firstLine="0" w:firstLineChars="0"/>
        <w:rPr>
          <w:rFonts w:hint="eastAsia" w:ascii="宋体" w:hAnsi="宋体" w:cs="宋体"/>
          <w:spacing w:val="20"/>
        </w:rPr>
      </w:pPr>
    </w:p>
    <w:p w14:paraId="1F9F5C09">
      <w:pPr>
        <w:pStyle w:val="21"/>
        <w:snapToGrid w:val="0"/>
        <w:spacing w:line="360" w:lineRule="auto"/>
        <w:ind w:left="0" w:leftChars="0" w:firstLine="0" w:firstLineChars="0"/>
        <w:rPr>
          <w:rFonts w:hint="eastAsia" w:ascii="宋体" w:hAnsi="宋体" w:cs="宋体"/>
          <w:spacing w:val="20"/>
        </w:rPr>
      </w:pPr>
    </w:p>
    <w:p w14:paraId="3F9A8E53">
      <w:pPr>
        <w:pStyle w:val="21"/>
        <w:snapToGrid w:val="0"/>
        <w:spacing w:line="360" w:lineRule="auto"/>
        <w:ind w:left="0" w:leftChars="0" w:firstLine="0" w:firstLineChars="0"/>
        <w:rPr>
          <w:rFonts w:hint="eastAsia" w:ascii="宋体" w:hAnsi="宋体" w:cs="宋体"/>
          <w:spacing w:val="20"/>
        </w:rPr>
      </w:pPr>
    </w:p>
    <w:p w14:paraId="2752E3D1">
      <w:pPr>
        <w:pStyle w:val="21"/>
        <w:snapToGrid w:val="0"/>
        <w:spacing w:line="360" w:lineRule="auto"/>
        <w:ind w:left="0" w:leftChars="0" w:firstLine="0" w:firstLineChars="0"/>
        <w:rPr>
          <w:rFonts w:hint="eastAsia" w:ascii="宋体" w:hAnsi="宋体" w:cs="宋体"/>
          <w:spacing w:val="20"/>
        </w:rPr>
      </w:pPr>
    </w:p>
    <w:p w14:paraId="31FA7E5A">
      <w:pPr>
        <w:pStyle w:val="4"/>
        <w:ind w:firstLine="0" w:firstLineChars="0"/>
        <w:rPr>
          <w:rFonts w:hint="eastAsia" w:ascii="宋体" w:hAnsi="宋体" w:cs="宋体"/>
        </w:rPr>
      </w:pPr>
      <w:bookmarkStart w:id="87" w:name="_Toc19516"/>
      <w:bookmarkStart w:id="88" w:name="_Toc467745183"/>
      <w:bookmarkStart w:id="89" w:name="_Toc23393"/>
      <w:bookmarkStart w:id="90" w:name="_Toc336683582"/>
      <w:bookmarkStart w:id="91" w:name="_Toc519160216"/>
      <w:bookmarkStart w:id="92" w:name="_Toc345575551"/>
      <w:bookmarkStart w:id="93" w:name="_Toc29387"/>
      <w:bookmarkStart w:id="94" w:name="_Toc26952"/>
      <w:bookmarkStart w:id="95" w:name="_Toc1078"/>
      <w:bookmarkStart w:id="96" w:name="_Toc594"/>
      <w:r>
        <w:rPr>
          <w:rFonts w:hint="eastAsia" w:ascii="宋体" w:hAnsi="宋体" w:cs="宋体"/>
        </w:rPr>
        <w:t>七、类似项目业绩表格式</w:t>
      </w:r>
      <w:bookmarkEnd w:id="87"/>
      <w:bookmarkEnd w:id="88"/>
      <w:bookmarkEnd w:id="89"/>
      <w:bookmarkEnd w:id="90"/>
      <w:bookmarkEnd w:id="91"/>
      <w:bookmarkEnd w:id="92"/>
      <w:bookmarkEnd w:id="93"/>
      <w:bookmarkEnd w:id="94"/>
      <w:bookmarkEnd w:id="95"/>
      <w:bookmarkEnd w:id="96"/>
    </w:p>
    <w:p w14:paraId="71CE09BA">
      <w:pPr>
        <w:spacing w:line="360" w:lineRule="auto"/>
        <w:ind w:left="321" w:hanging="321" w:hangingChars="100"/>
        <w:jc w:val="center"/>
        <w:rPr>
          <w:rFonts w:hint="eastAsia" w:ascii="宋体" w:hAnsi="宋体" w:cs="宋体"/>
          <w:b/>
          <w:bCs/>
          <w:sz w:val="32"/>
          <w:szCs w:val="32"/>
        </w:rPr>
      </w:pPr>
      <w:r>
        <w:rPr>
          <w:rFonts w:hint="eastAsia" w:ascii="宋体" w:hAnsi="宋体" w:cs="宋体"/>
          <w:b/>
          <w:bCs/>
          <w:sz w:val="32"/>
          <w:szCs w:val="32"/>
        </w:rPr>
        <w:t>类似项目业绩表</w:t>
      </w:r>
    </w:p>
    <w:p w14:paraId="085805E8">
      <w:r>
        <w:rPr>
          <w:rFonts w:hint="eastAsia"/>
        </w:rPr>
        <w:t xml:space="preserve"> </w:t>
      </w:r>
    </w:p>
    <w:tbl>
      <w:tblPr>
        <w:tblStyle w:val="4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6"/>
        <w:gridCol w:w="1554"/>
        <w:gridCol w:w="2311"/>
        <w:gridCol w:w="1406"/>
        <w:gridCol w:w="1082"/>
        <w:gridCol w:w="1348"/>
        <w:gridCol w:w="1457"/>
      </w:tblGrid>
      <w:tr w14:paraId="389FA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rPr>
        <w:tc>
          <w:tcPr>
            <w:tcW w:w="242" w:type="pct"/>
            <w:vAlign w:val="center"/>
          </w:tcPr>
          <w:p w14:paraId="33E746F6">
            <w:pPr>
              <w:spacing w:line="360" w:lineRule="auto"/>
              <w:jc w:val="center"/>
              <w:rPr>
                <w:rFonts w:hint="eastAsia" w:ascii="宋体" w:hAnsi="宋体" w:cs="宋体"/>
                <w:caps/>
              </w:rPr>
            </w:pPr>
            <w:r>
              <w:rPr>
                <w:rFonts w:hint="eastAsia" w:ascii="宋体" w:hAnsi="宋体" w:cs="宋体"/>
                <w:caps/>
              </w:rPr>
              <w:t>序号</w:t>
            </w:r>
          </w:p>
        </w:tc>
        <w:tc>
          <w:tcPr>
            <w:tcW w:w="807" w:type="pct"/>
            <w:vAlign w:val="center"/>
          </w:tcPr>
          <w:p w14:paraId="4A9A0F40">
            <w:pPr>
              <w:spacing w:line="360" w:lineRule="auto"/>
              <w:jc w:val="center"/>
              <w:rPr>
                <w:rFonts w:hint="eastAsia" w:ascii="宋体" w:hAnsi="宋体" w:cs="宋体"/>
                <w:caps/>
              </w:rPr>
            </w:pPr>
            <w:r>
              <w:rPr>
                <w:rFonts w:hint="eastAsia" w:ascii="宋体" w:hAnsi="宋体" w:cs="宋体"/>
                <w:caps/>
              </w:rPr>
              <w:t>用户名称</w:t>
            </w:r>
          </w:p>
        </w:tc>
        <w:tc>
          <w:tcPr>
            <w:tcW w:w="1200" w:type="pct"/>
            <w:vAlign w:val="center"/>
          </w:tcPr>
          <w:p w14:paraId="1347F9D2">
            <w:pPr>
              <w:spacing w:line="360" w:lineRule="auto"/>
              <w:jc w:val="center"/>
              <w:rPr>
                <w:rFonts w:hint="eastAsia" w:ascii="宋体" w:hAnsi="宋体" w:cs="宋体"/>
                <w:caps/>
              </w:rPr>
            </w:pPr>
            <w:r>
              <w:rPr>
                <w:rFonts w:hint="eastAsia" w:ascii="宋体" w:hAnsi="宋体" w:cs="宋体"/>
                <w:caps/>
              </w:rPr>
              <w:t>服务内容描述</w:t>
            </w:r>
          </w:p>
        </w:tc>
        <w:tc>
          <w:tcPr>
            <w:tcW w:w="730" w:type="pct"/>
            <w:vAlign w:val="center"/>
          </w:tcPr>
          <w:p w14:paraId="4B47B286">
            <w:pPr>
              <w:spacing w:line="360" w:lineRule="auto"/>
              <w:jc w:val="center"/>
              <w:rPr>
                <w:rFonts w:hint="eastAsia" w:ascii="宋体" w:hAnsi="宋体" w:cs="宋体"/>
                <w:caps/>
              </w:rPr>
            </w:pPr>
            <w:r>
              <w:rPr>
                <w:rFonts w:hint="eastAsia" w:ascii="宋体" w:hAnsi="宋体" w:cs="宋体"/>
              </w:rPr>
              <w:t>签约日期</w:t>
            </w:r>
          </w:p>
        </w:tc>
        <w:tc>
          <w:tcPr>
            <w:tcW w:w="562" w:type="pct"/>
            <w:vAlign w:val="center"/>
          </w:tcPr>
          <w:p w14:paraId="1898923A">
            <w:pPr>
              <w:spacing w:line="360" w:lineRule="auto"/>
              <w:jc w:val="center"/>
              <w:rPr>
                <w:rFonts w:hint="eastAsia" w:ascii="宋体" w:hAnsi="宋体" w:cs="宋体"/>
              </w:rPr>
            </w:pPr>
            <w:r>
              <w:rPr>
                <w:rFonts w:hint="eastAsia" w:ascii="宋体" w:hAnsi="宋体" w:cs="宋体"/>
              </w:rPr>
              <w:t>联系人</w:t>
            </w:r>
          </w:p>
        </w:tc>
        <w:tc>
          <w:tcPr>
            <w:tcW w:w="700" w:type="pct"/>
            <w:vAlign w:val="center"/>
          </w:tcPr>
          <w:p w14:paraId="302E82DA">
            <w:pPr>
              <w:spacing w:line="360" w:lineRule="auto"/>
              <w:jc w:val="center"/>
              <w:rPr>
                <w:rFonts w:hint="eastAsia" w:ascii="宋体" w:hAnsi="宋体" w:cs="宋体"/>
              </w:rPr>
            </w:pPr>
            <w:r>
              <w:rPr>
                <w:rFonts w:hint="eastAsia" w:ascii="宋体" w:hAnsi="宋体" w:cs="宋体"/>
              </w:rPr>
              <w:t>联系电话</w:t>
            </w:r>
          </w:p>
        </w:tc>
        <w:tc>
          <w:tcPr>
            <w:tcW w:w="756" w:type="pct"/>
            <w:vAlign w:val="center"/>
          </w:tcPr>
          <w:p w14:paraId="035EBF7D">
            <w:pPr>
              <w:spacing w:line="360" w:lineRule="auto"/>
              <w:jc w:val="center"/>
            </w:pPr>
            <w:r>
              <w:rPr>
                <w:rFonts w:hint="eastAsia"/>
              </w:rPr>
              <w:t>备注</w:t>
            </w:r>
          </w:p>
          <w:p w14:paraId="64E4CD2A">
            <w:pPr>
              <w:pStyle w:val="19"/>
            </w:pPr>
          </w:p>
        </w:tc>
      </w:tr>
      <w:tr w14:paraId="75614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242" w:type="pct"/>
            <w:vAlign w:val="center"/>
          </w:tcPr>
          <w:p w14:paraId="607ADFFE">
            <w:pPr>
              <w:spacing w:line="360" w:lineRule="auto"/>
              <w:jc w:val="center"/>
              <w:rPr>
                <w:rFonts w:hint="eastAsia" w:ascii="宋体" w:hAnsi="宋体" w:cs="宋体"/>
                <w:spacing w:val="20"/>
              </w:rPr>
            </w:pPr>
          </w:p>
        </w:tc>
        <w:tc>
          <w:tcPr>
            <w:tcW w:w="807" w:type="pct"/>
            <w:vAlign w:val="center"/>
          </w:tcPr>
          <w:p w14:paraId="64EFF042">
            <w:pPr>
              <w:spacing w:line="360" w:lineRule="auto"/>
              <w:jc w:val="center"/>
              <w:rPr>
                <w:rFonts w:hint="eastAsia" w:ascii="宋体" w:hAnsi="宋体" w:cs="宋体"/>
                <w:spacing w:val="20"/>
              </w:rPr>
            </w:pPr>
          </w:p>
        </w:tc>
        <w:tc>
          <w:tcPr>
            <w:tcW w:w="1200" w:type="pct"/>
            <w:vAlign w:val="center"/>
          </w:tcPr>
          <w:p w14:paraId="63E0FDC6">
            <w:pPr>
              <w:spacing w:line="360" w:lineRule="auto"/>
              <w:jc w:val="center"/>
              <w:rPr>
                <w:rFonts w:hint="eastAsia" w:ascii="宋体" w:hAnsi="宋体" w:cs="宋体"/>
                <w:spacing w:val="20"/>
              </w:rPr>
            </w:pPr>
          </w:p>
        </w:tc>
        <w:tc>
          <w:tcPr>
            <w:tcW w:w="730" w:type="pct"/>
            <w:vAlign w:val="center"/>
          </w:tcPr>
          <w:p w14:paraId="4974810D">
            <w:pPr>
              <w:spacing w:line="360" w:lineRule="auto"/>
              <w:jc w:val="center"/>
              <w:rPr>
                <w:rFonts w:hint="eastAsia" w:ascii="宋体" w:hAnsi="宋体" w:cs="宋体"/>
                <w:spacing w:val="20"/>
              </w:rPr>
            </w:pPr>
          </w:p>
        </w:tc>
        <w:tc>
          <w:tcPr>
            <w:tcW w:w="562" w:type="pct"/>
            <w:vAlign w:val="center"/>
          </w:tcPr>
          <w:p w14:paraId="1587ADB0">
            <w:pPr>
              <w:spacing w:line="360" w:lineRule="auto"/>
              <w:jc w:val="center"/>
              <w:rPr>
                <w:rFonts w:hint="eastAsia" w:ascii="宋体" w:hAnsi="宋体" w:cs="宋体"/>
                <w:spacing w:val="20"/>
              </w:rPr>
            </w:pPr>
          </w:p>
        </w:tc>
        <w:tc>
          <w:tcPr>
            <w:tcW w:w="700" w:type="pct"/>
            <w:vAlign w:val="center"/>
          </w:tcPr>
          <w:p w14:paraId="111EE3E0">
            <w:pPr>
              <w:spacing w:line="360" w:lineRule="auto"/>
              <w:jc w:val="center"/>
              <w:rPr>
                <w:rFonts w:hint="eastAsia" w:ascii="宋体" w:hAnsi="宋体" w:cs="宋体"/>
                <w:spacing w:val="20"/>
              </w:rPr>
            </w:pPr>
          </w:p>
        </w:tc>
        <w:tc>
          <w:tcPr>
            <w:tcW w:w="756" w:type="pct"/>
            <w:vAlign w:val="center"/>
          </w:tcPr>
          <w:p w14:paraId="6918BEEC">
            <w:pPr>
              <w:spacing w:line="360" w:lineRule="auto"/>
              <w:jc w:val="center"/>
              <w:rPr>
                <w:rFonts w:hint="eastAsia" w:ascii="宋体" w:hAnsi="宋体" w:cs="宋体"/>
                <w:spacing w:val="20"/>
              </w:rPr>
            </w:pPr>
          </w:p>
        </w:tc>
      </w:tr>
      <w:tr w14:paraId="62F6B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242" w:type="pct"/>
            <w:vAlign w:val="center"/>
          </w:tcPr>
          <w:p w14:paraId="2FDCF28E">
            <w:pPr>
              <w:spacing w:line="360" w:lineRule="auto"/>
              <w:jc w:val="center"/>
              <w:rPr>
                <w:rFonts w:hint="eastAsia" w:ascii="宋体" w:hAnsi="宋体" w:cs="宋体"/>
                <w:spacing w:val="20"/>
              </w:rPr>
            </w:pPr>
          </w:p>
        </w:tc>
        <w:tc>
          <w:tcPr>
            <w:tcW w:w="807" w:type="pct"/>
            <w:vAlign w:val="center"/>
          </w:tcPr>
          <w:p w14:paraId="4A520F52">
            <w:pPr>
              <w:spacing w:line="360" w:lineRule="auto"/>
              <w:jc w:val="center"/>
              <w:rPr>
                <w:rFonts w:hint="eastAsia" w:ascii="宋体" w:hAnsi="宋体" w:cs="宋体"/>
                <w:spacing w:val="20"/>
              </w:rPr>
            </w:pPr>
          </w:p>
        </w:tc>
        <w:tc>
          <w:tcPr>
            <w:tcW w:w="1200" w:type="pct"/>
            <w:vAlign w:val="center"/>
          </w:tcPr>
          <w:p w14:paraId="49229F8B">
            <w:pPr>
              <w:spacing w:line="360" w:lineRule="auto"/>
              <w:jc w:val="center"/>
              <w:rPr>
                <w:rFonts w:hint="eastAsia" w:ascii="宋体" w:hAnsi="宋体" w:cs="宋体"/>
                <w:spacing w:val="20"/>
              </w:rPr>
            </w:pPr>
          </w:p>
        </w:tc>
        <w:tc>
          <w:tcPr>
            <w:tcW w:w="730" w:type="pct"/>
            <w:vAlign w:val="center"/>
          </w:tcPr>
          <w:p w14:paraId="504F80C5">
            <w:pPr>
              <w:spacing w:line="360" w:lineRule="auto"/>
              <w:jc w:val="center"/>
              <w:rPr>
                <w:rFonts w:hint="eastAsia" w:ascii="宋体" w:hAnsi="宋体" w:cs="宋体"/>
                <w:spacing w:val="20"/>
              </w:rPr>
            </w:pPr>
          </w:p>
        </w:tc>
        <w:tc>
          <w:tcPr>
            <w:tcW w:w="562" w:type="pct"/>
            <w:vAlign w:val="center"/>
          </w:tcPr>
          <w:p w14:paraId="150BE747">
            <w:pPr>
              <w:spacing w:line="360" w:lineRule="auto"/>
              <w:jc w:val="center"/>
              <w:rPr>
                <w:rFonts w:hint="eastAsia" w:ascii="宋体" w:hAnsi="宋体" w:cs="宋体"/>
                <w:spacing w:val="20"/>
              </w:rPr>
            </w:pPr>
          </w:p>
        </w:tc>
        <w:tc>
          <w:tcPr>
            <w:tcW w:w="700" w:type="pct"/>
            <w:vAlign w:val="center"/>
          </w:tcPr>
          <w:p w14:paraId="04B43CE1">
            <w:pPr>
              <w:spacing w:line="360" w:lineRule="auto"/>
              <w:jc w:val="center"/>
              <w:rPr>
                <w:rFonts w:hint="eastAsia" w:ascii="宋体" w:hAnsi="宋体" w:cs="宋体"/>
                <w:spacing w:val="20"/>
              </w:rPr>
            </w:pPr>
          </w:p>
        </w:tc>
        <w:tc>
          <w:tcPr>
            <w:tcW w:w="756" w:type="pct"/>
            <w:vAlign w:val="center"/>
          </w:tcPr>
          <w:p w14:paraId="11902C0E">
            <w:pPr>
              <w:spacing w:line="360" w:lineRule="auto"/>
              <w:jc w:val="center"/>
              <w:rPr>
                <w:rFonts w:hint="eastAsia" w:ascii="宋体" w:hAnsi="宋体" w:cs="宋体"/>
                <w:spacing w:val="20"/>
              </w:rPr>
            </w:pPr>
          </w:p>
        </w:tc>
      </w:tr>
      <w:tr w14:paraId="0B03C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242" w:type="pct"/>
            <w:vAlign w:val="center"/>
          </w:tcPr>
          <w:p w14:paraId="2EE0E05A">
            <w:pPr>
              <w:spacing w:line="360" w:lineRule="auto"/>
              <w:jc w:val="center"/>
              <w:rPr>
                <w:rFonts w:hint="eastAsia" w:ascii="宋体" w:hAnsi="宋体" w:cs="宋体"/>
                <w:spacing w:val="20"/>
              </w:rPr>
            </w:pPr>
          </w:p>
        </w:tc>
        <w:tc>
          <w:tcPr>
            <w:tcW w:w="807" w:type="pct"/>
            <w:vAlign w:val="center"/>
          </w:tcPr>
          <w:p w14:paraId="040B9977">
            <w:pPr>
              <w:spacing w:line="360" w:lineRule="auto"/>
              <w:jc w:val="center"/>
              <w:rPr>
                <w:rFonts w:hint="eastAsia" w:ascii="宋体" w:hAnsi="宋体" w:cs="宋体"/>
                <w:spacing w:val="20"/>
              </w:rPr>
            </w:pPr>
          </w:p>
        </w:tc>
        <w:tc>
          <w:tcPr>
            <w:tcW w:w="1200" w:type="pct"/>
            <w:vAlign w:val="center"/>
          </w:tcPr>
          <w:p w14:paraId="4C0B299F">
            <w:pPr>
              <w:spacing w:line="360" w:lineRule="auto"/>
              <w:jc w:val="center"/>
              <w:rPr>
                <w:rFonts w:hint="eastAsia" w:ascii="宋体" w:hAnsi="宋体" w:cs="宋体"/>
                <w:spacing w:val="20"/>
              </w:rPr>
            </w:pPr>
          </w:p>
        </w:tc>
        <w:tc>
          <w:tcPr>
            <w:tcW w:w="730" w:type="pct"/>
            <w:vAlign w:val="center"/>
          </w:tcPr>
          <w:p w14:paraId="634885DC">
            <w:pPr>
              <w:spacing w:line="360" w:lineRule="auto"/>
              <w:jc w:val="center"/>
              <w:rPr>
                <w:rFonts w:hint="eastAsia" w:ascii="宋体" w:hAnsi="宋体" w:cs="宋体"/>
                <w:spacing w:val="20"/>
              </w:rPr>
            </w:pPr>
          </w:p>
        </w:tc>
        <w:tc>
          <w:tcPr>
            <w:tcW w:w="562" w:type="pct"/>
            <w:vAlign w:val="center"/>
          </w:tcPr>
          <w:p w14:paraId="7044459A">
            <w:pPr>
              <w:spacing w:line="360" w:lineRule="auto"/>
              <w:jc w:val="center"/>
              <w:rPr>
                <w:rFonts w:hint="eastAsia" w:ascii="宋体" w:hAnsi="宋体" w:cs="宋体"/>
                <w:spacing w:val="20"/>
              </w:rPr>
            </w:pPr>
          </w:p>
        </w:tc>
        <w:tc>
          <w:tcPr>
            <w:tcW w:w="700" w:type="pct"/>
            <w:vAlign w:val="center"/>
          </w:tcPr>
          <w:p w14:paraId="062F0861">
            <w:pPr>
              <w:spacing w:line="360" w:lineRule="auto"/>
              <w:jc w:val="center"/>
              <w:rPr>
                <w:rFonts w:hint="eastAsia" w:ascii="宋体" w:hAnsi="宋体" w:cs="宋体"/>
                <w:spacing w:val="20"/>
              </w:rPr>
            </w:pPr>
          </w:p>
        </w:tc>
        <w:tc>
          <w:tcPr>
            <w:tcW w:w="756" w:type="pct"/>
            <w:vAlign w:val="center"/>
          </w:tcPr>
          <w:p w14:paraId="55612636">
            <w:pPr>
              <w:spacing w:line="360" w:lineRule="auto"/>
              <w:jc w:val="center"/>
              <w:rPr>
                <w:rFonts w:hint="eastAsia" w:ascii="宋体" w:hAnsi="宋体" w:cs="宋体"/>
                <w:spacing w:val="20"/>
              </w:rPr>
            </w:pPr>
          </w:p>
        </w:tc>
      </w:tr>
      <w:tr w14:paraId="3C469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242" w:type="pct"/>
            <w:vAlign w:val="center"/>
          </w:tcPr>
          <w:p w14:paraId="2C3EC15F">
            <w:pPr>
              <w:spacing w:line="360" w:lineRule="auto"/>
              <w:jc w:val="center"/>
              <w:rPr>
                <w:rFonts w:hint="eastAsia" w:ascii="宋体" w:hAnsi="宋体" w:cs="宋体"/>
                <w:spacing w:val="20"/>
              </w:rPr>
            </w:pPr>
          </w:p>
        </w:tc>
        <w:tc>
          <w:tcPr>
            <w:tcW w:w="807" w:type="pct"/>
            <w:vAlign w:val="center"/>
          </w:tcPr>
          <w:p w14:paraId="7E8D2F3A">
            <w:pPr>
              <w:spacing w:line="360" w:lineRule="auto"/>
              <w:jc w:val="center"/>
              <w:rPr>
                <w:rFonts w:hint="eastAsia" w:ascii="宋体" w:hAnsi="宋体" w:cs="宋体"/>
                <w:spacing w:val="20"/>
              </w:rPr>
            </w:pPr>
          </w:p>
        </w:tc>
        <w:tc>
          <w:tcPr>
            <w:tcW w:w="1200" w:type="pct"/>
            <w:vAlign w:val="center"/>
          </w:tcPr>
          <w:p w14:paraId="0959BC7C">
            <w:pPr>
              <w:spacing w:line="360" w:lineRule="auto"/>
              <w:jc w:val="center"/>
              <w:rPr>
                <w:rFonts w:hint="eastAsia" w:ascii="宋体" w:hAnsi="宋体" w:cs="宋体"/>
                <w:spacing w:val="20"/>
              </w:rPr>
            </w:pPr>
          </w:p>
        </w:tc>
        <w:tc>
          <w:tcPr>
            <w:tcW w:w="730" w:type="pct"/>
            <w:vAlign w:val="center"/>
          </w:tcPr>
          <w:p w14:paraId="52A090A0">
            <w:pPr>
              <w:spacing w:line="360" w:lineRule="auto"/>
              <w:jc w:val="center"/>
              <w:rPr>
                <w:rFonts w:hint="eastAsia" w:ascii="宋体" w:hAnsi="宋体" w:cs="宋体"/>
                <w:spacing w:val="20"/>
              </w:rPr>
            </w:pPr>
          </w:p>
        </w:tc>
        <w:tc>
          <w:tcPr>
            <w:tcW w:w="562" w:type="pct"/>
            <w:vAlign w:val="center"/>
          </w:tcPr>
          <w:p w14:paraId="74D93113">
            <w:pPr>
              <w:spacing w:line="360" w:lineRule="auto"/>
              <w:jc w:val="center"/>
              <w:rPr>
                <w:rFonts w:hint="eastAsia" w:ascii="宋体" w:hAnsi="宋体" w:cs="宋体"/>
                <w:spacing w:val="20"/>
              </w:rPr>
            </w:pPr>
          </w:p>
        </w:tc>
        <w:tc>
          <w:tcPr>
            <w:tcW w:w="700" w:type="pct"/>
            <w:vAlign w:val="center"/>
          </w:tcPr>
          <w:p w14:paraId="4B3C95C5">
            <w:pPr>
              <w:spacing w:line="360" w:lineRule="auto"/>
              <w:jc w:val="center"/>
              <w:rPr>
                <w:rFonts w:hint="eastAsia" w:ascii="宋体" w:hAnsi="宋体" w:cs="宋体"/>
                <w:spacing w:val="20"/>
              </w:rPr>
            </w:pPr>
          </w:p>
        </w:tc>
        <w:tc>
          <w:tcPr>
            <w:tcW w:w="756" w:type="pct"/>
            <w:vAlign w:val="center"/>
          </w:tcPr>
          <w:p w14:paraId="6E4A87BF">
            <w:pPr>
              <w:spacing w:line="360" w:lineRule="auto"/>
              <w:jc w:val="center"/>
              <w:rPr>
                <w:rFonts w:hint="eastAsia" w:ascii="宋体" w:hAnsi="宋体" w:cs="宋体"/>
                <w:spacing w:val="20"/>
              </w:rPr>
            </w:pPr>
          </w:p>
        </w:tc>
      </w:tr>
      <w:tr w14:paraId="0A259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242" w:type="pct"/>
            <w:vAlign w:val="center"/>
          </w:tcPr>
          <w:p w14:paraId="7BACAFD0">
            <w:pPr>
              <w:spacing w:line="360" w:lineRule="auto"/>
              <w:jc w:val="center"/>
              <w:rPr>
                <w:rFonts w:hint="eastAsia" w:ascii="宋体" w:hAnsi="宋体" w:cs="宋体"/>
                <w:spacing w:val="20"/>
              </w:rPr>
            </w:pPr>
          </w:p>
        </w:tc>
        <w:tc>
          <w:tcPr>
            <w:tcW w:w="807" w:type="pct"/>
            <w:vAlign w:val="center"/>
          </w:tcPr>
          <w:p w14:paraId="2AE1B181">
            <w:pPr>
              <w:spacing w:line="360" w:lineRule="auto"/>
              <w:jc w:val="center"/>
              <w:rPr>
                <w:rFonts w:hint="eastAsia" w:ascii="宋体" w:hAnsi="宋体" w:cs="宋体"/>
                <w:spacing w:val="20"/>
              </w:rPr>
            </w:pPr>
          </w:p>
        </w:tc>
        <w:tc>
          <w:tcPr>
            <w:tcW w:w="1200" w:type="pct"/>
            <w:vAlign w:val="center"/>
          </w:tcPr>
          <w:p w14:paraId="2F636DEB">
            <w:pPr>
              <w:spacing w:line="360" w:lineRule="auto"/>
              <w:jc w:val="center"/>
              <w:rPr>
                <w:rFonts w:hint="eastAsia" w:ascii="宋体" w:hAnsi="宋体" w:cs="宋体"/>
                <w:spacing w:val="20"/>
              </w:rPr>
            </w:pPr>
          </w:p>
        </w:tc>
        <w:tc>
          <w:tcPr>
            <w:tcW w:w="730" w:type="pct"/>
            <w:vAlign w:val="center"/>
          </w:tcPr>
          <w:p w14:paraId="147C91DD">
            <w:pPr>
              <w:spacing w:line="360" w:lineRule="auto"/>
              <w:jc w:val="center"/>
              <w:rPr>
                <w:rFonts w:hint="eastAsia" w:ascii="宋体" w:hAnsi="宋体" w:cs="宋体"/>
                <w:spacing w:val="20"/>
              </w:rPr>
            </w:pPr>
          </w:p>
        </w:tc>
        <w:tc>
          <w:tcPr>
            <w:tcW w:w="562" w:type="pct"/>
            <w:vAlign w:val="center"/>
          </w:tcPr>
          <w:p w14:paraId="09F47553">
            <w:pPr>
              <w:spacing w:line="360" w:lineRule="auto"/>
              <w:jc w:val="center"/>
              <w:rPr>
                <w:rFonts w:hint="eastAsia" w:ascii="宋体" w:hAnsi="宋体" w:cs="宋体"/>
                <w:spacing w:val="20"/>
              </w:rPr>
            </w:pPr>
          </w:p>
        </w:tc>
        <w:tc>
          <w:tcPr>
            <w:tcW w:w="700" w:type="pct"/>
            <w:vAlign w:val="center"/>
          </w:tcPr>
          <w:p w14:paraId="0245A0D0">
            <w:pPr>
              <w:spacing w:line="360" w:lineRule="auto"/>
              <w:jc w:val="center"/>
              <w:rPr>
                <w:rFonts w:hint="eastAsia" w:ascii="宋体" w:hAnsi="宋体" w:cs="宋体"/>
                <w:spacing w:val="20"/>
              </w:rPr>
            </w:pPr>
          </w:p>
        </w:tc>
        <w:tc>
          <w:tcPr>
            <w:tcW w:w="756" w:type="pct"/>
            <w:vAlign w:val="center"/>
          </w:tcPr>
          <w:p w14:paraId="4436ECC1">
            <w:pPr>
              <w:spacing w:line="360" w:lineRule="auto"/>
              <w:jc w:val="center"/>
              <w:rPr>
                <w:rFonts w:hint="eastAsia" w:ascii="宋体" w:hAnsi="宋体" w:cs="宋体"/>
                <w:spacing w:val="20"/>
              </w:rPr>
            </w:pPr>
          </w:p>
        </w:tc>
      </w:tr>
      <w:tr w14:paraId="71A24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242" w:type="pct"/>
            <w:vAlign w:val="center"/>
          </w:tcPr>
          <w:p w14:paraId="5EA65768">
            <w:pPr>
              <w:spacing w:line="360" w:lineRule="auto"/>
              <w:jc w:val="center"/>
              <w:rPr>
                <w:rFonts w:hint="eastAsia" w:ascii="宋体" w:hAnsi="宋体" w:cs="宋体"/>
                <w:spacing w:val="20"/>
              </w:rPr>
            </w:pPr>
          </w:p>
        </w:tc>
        <w:tc>
          <w:tcPr>
            <w:tcW w:w="807" w:type="pct"/>
            <w:vAlign w:val="center"/>
          </w:tcPr>
          <w:p w14:paraId="2E740D9E">
            <w:pPr>
              <w:spacing w:line="360" w:lineRule="auto"/>
              <w:jc w:val="center"/>
              <w:rPr>
                <w:rFonts w:hint="eastAsia" w:ascii="宋体" w:hAnsi="宋体" w:cs="宋体"/>
                <w:spacing w:val="20"/>
              </w:rPr>
            </w:pPr>
          </w:p>
        </w:tc>
        <w:tc>
          <w:tcPr>
            <w:tcW w:w="1200" w:type="pct"/>
            <w:vAlign w:val="center"/>
          </w:tcPr>
          <w:p w14:paraId="353B4243">
            <w:pPr>
              <w:spacing w:line="360" w:lineRule="auto"/>
              <w:jc w:val="center"/>
              <w:rPr>
                <w:rFonts w:hint="eastAsia" w:ascii="宋体" w:hAnsi="宋体" w:cs="宋体"/>
                <w:spacing w:val="20"/>
              </w:rPr>
            </w:pPr>
          </w:p>
        </w:tc>
        <w:tc>
          <w:tcPr>
            <w:tcW w:w="730" w:type="pct"/>
            <w:vAlign w:val="center"/>
          </w:tcPr>
          <w:p w14:paraId="3D69D257">
            <w:pPr>
              <w:spacing w:line="360" w:lineRule="auto"/>
              <w:jc w:val="center"/>
              <w:rPr>
                <w:rFonts w:hint="eastAsia" w:ascii="宋体" w:hAnsi="宋体" w:cs="宋体"/>
                <w:spacing w:val="20"/>
              </w:rPr>
            </w:pPr>
          </w:p>
        </w:tc>
        <w:tc>
          <w:tcPr>
            <w:tcW w:w="562" w:type="pct"/>
            <w:vAlign w:val="center"/>
          </w:tcPr>
          <w:p w14:paraId="1FB730D2">
            <w:pPr>
              <w:spacing w:line="360" w:lineRule="auto"/>
              <w:jc w:val="center"/>
              <w:rPr>
                <w:rFonts w:hint="eastAsia" w:ascii="宋体" w:hAnsi="宋体" w:cs="宋体"/>
                <w:spacing w:val="20"/>
              </w:rPr>
            </w:pPr>
          </w:p>
        </w:tc>
        <w:tc>
          <w:tcPr>
            <w:tcW w:w="700" w:type="pct"/>
            <w:vAlign w:val="center"/>
          </w:tcPr>
          <w:p w14:paraId="51D89A44">
            <w:pPr>
              <w:spacing w:line="360" w:lineRule="auto"/>
              <w:jc w:val="center"/>
              <w:rPr>
                <w:rFonts w:hint="eastAsia" w:ascii="宋体" w:hAnsi="宋体" w:cs="宋体"/>
                <w:spacing w:val="20"/>
              </w:rPr>
            </w:pPr>
          </w:p>
        </w:tc>
        <w:tc>
          <w:tcPr>
            <w:tcW w:w="756" w:type="pct"/>
            <w:vAlign w:val="center"/>
          </w:tcPr>
          <w:p w14:paraId="7DA30275">
            <w:pPr>
              <w:spacing w:line="360" w:lineRule="auto"/>
              <w:jc w:val="center"/>
              <w:rPr>
                <w:rFonts w:hint="eastAsia" w:ascii="宋体" w:hAnsi="宋体" w:cs="宋体"/>
                <w:spacing w:val="20"/>
              </w:rPr>
            </w:pPr>
          </w:p>
        </w:tc>
      </w:tr>
      <w:tr w14:paraId="213DF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242" w:type="pct"/>
            <w:vAlign w:val="center"/>
          </w:tcPr>
          <w:p w14:paraId="79AF2272">
            <w:pPr>
              <w:spacing w:line="360" w:lineRule="auto"/>
              <w:jc w:val="center"/>
              <w:rPr>
                <w:rFonts w:hint="eastAsia" w:ascii="宋体" w:hAnsi="宋体" w:cs="宋体"/>
                <w:spacing w:val="20"/>
              </w:rPr>
            </w:pPr>
          </w:p>
        </w:tc>
        <w:tc>
          <w:tcPr>
            <w:tcW w:w="807" w:type="pct"/>
            <w:vAlign w:val="center"/>
          </w:tcPr>
          <w:p w14:paraId="4EC96247">
            <w:pPr>
              <w:spacing w:line="360" w:lineRule="auto"/>
              <w:jc w:val="center"/>
              <w:rPr>
                <w:rFonts w:hint="eastAsia" w:ascii="宋体" w:hAnsi="宋体" w:cs="宋体"/>
                <w:spacing w:val="20"/>
              </w:rPr>
            </w:pPr>
          </w:p>
        </w:tc>
        <w:tc>
          <w:tcPr>
            <w:tcW w:w="1200" w:type="pct"/>
            <w:vAlign w:val="center"/>
          </w:tcPr>
          <w:p w14:paraId="1ECC292B">
            <w:pPr>
              <w:spacing w:line="360" w:lineRule="auto"/>
              <w:jc w:val="center"/>
              <w:rPr>
                <w:rFonts w:hint="eastAsia" w:ascii="宋体" w:hAnsi="宋体" w:cs="宋体"/>
                <w:spacing w:val="20"/>
              </w:rPr>
            </w:pPr>
          </w:p>
        </w:tc>
        <w:tc>
          <w:tcPr>
            <w:tcW w:w="730" w:type="pct"/>
            <w:vAlign w:val="center"/>
          </w:tcPr>
          <w:p w14:paraId="19541544">
            <w:pPr>
              <w:spacing w:line="360" w:lineRule="auto"/>
              <w:jc w:val="center"/>
              <w:rPr>
                <w:rFonts w:hint="eastAsia" w:ascii="宋体" w:hAnsi="宋体" w:cs="宋体"/>
                <w:spacing w:val="20"/>
              </w:rPr>
            </w:pPr>
          </w:p>
        </w:tc>
        <w:tc>
          <w:tcPr>
            <w:tcW w:w="562" w:type="pct"/>
            <w:vAlign w:val="center"/>
          </w:tcPr>
          <w:p w14:paraId="49C07F7C">
            <w:pPr>
              <w:spacing w:line="360" w:lineRule="auto"/>
              <w:jc w:val="center"/>
              <w:rPr>
                <w:rFonts w:hint="eastAsia" w:ascii="宋体" w:hAnsi="宋体" w:cs="宋体"/>
                <w:spacing w:val="20"/>
              </w:rPr>
            </w:pPr>
          </w:p>
        </w:tc>
        <w:tc>
          <w:tcPr>
            <w:tcW w:w="700" w:type="pct"/>
            <w:vAlign w:val="center"/>
          </w:tcPr>
          <w:p w14:paraId="78E79135">
            <w:pPr>
              <w:spacing w:line="360" w:lineRule="auto"/>
              <w:jc w:val="center"/>
              <w:rPr>
                <w:rFonts w:hint="eastAsia" w:ascii="宋体" w:hAnsi="宋体" w:cs="宋体"/>
                <w:spacing w:val="20"/>
              </w:rPr>
            </w:pPr>
          </w:p>
        </w:tc>
        <w:tc>
          <w:tcPr>
            <w:tcW w:w="756" w:type="pct"/>
            <w:vAlign w:val="center"/>
          </w:tcPr>
          <w:p w14:paraId="66BAA44C">
            <w:pPr>
              <w:spacing w:line="360" w:lineRule="auto"/>
              <w:jc w:val="center"/>
              <w:rPr>
                <w:rFonts w:hint="eastAsia" w:ascii="宋体" w:hAnsi="宋体" w:cs="宋体"/>
                <w:spacing w:val="20"/>
              </w:rPr>
            </w:pPr>
          </w:p>
        </w:tc>
      </w:tr>
      <w:tr w14:paraId="61E1D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242" w:type="pct"/>
            <w:vAlign w:val="center"/>
          </w:tcPr>
          <w:p w14:paraId="61197B14">
            <w:pPr>
              <w:spacing w:line="360" w:lineRule="auto"/>
              <w:jc w:val="center"/>
              <w:rPr>
                <w:rFonts w:hint="eastAsia" w:ascii="宋体" w:hAnsi="宋体" w:cs="宋体"/>
                <w:spacing w:val="20"/>
              </w:rPr>
            </w:pPr>
          </w:p>
        </w:tc>
        <w:tc>
          <w:tcPr>
            <w:tcW w:w="807" w:type="pct"/>
            <w:vAlign w:val="center"/>
          </w:tcPr>
          <w:p w14:paraId="29939598">
            <w:pPr>
              <w:spacing w:line="360" w:lineRule="auto"/>
              <w:jc w:val="center"/>
              <w:rPr>
                <w:rFonts w:hint="eastAsia" w:ascii="宋体" w:hAnsi="宋体" w:cs="宋体"/>
                <w:spacing w:val="20"/>
              </w:rPr>
            </w:pPr>
          </w:p>
        </w:tc>
        <w:tc>
          <w:tcPr>
            <w:tcW w:w="1200" w:type="pct"/>
            <w:vAlign w:val="center"/>
          </w:tcPr>
          <w:p w14:paraId="1DDEAE34">
            <w:pPr>
              <w:spacing w:line="360" w:lineRule="auto"/>
              <w:jc w:val="center"/>
              <w:rPr>
                <w:rFonts w:hint="eastAsia" w:ascii="宋体" w:hAnsi="宋体" w:cs="宋体"/>
                <w:spacing w:val="20"/>
              </w:rPr>
            </w:pPr>
          </w:p>
        </w:tc>
        <w:tc>
          <w:tcPr>
            <w:tcW w:w="730" w:type="pct"/>
            <w:vAlign w:val="center"/>
          </w:tcPr>
          <w:p w14:paraId="02CDCD65">
            <w:pPr>
              <w:spacing w:line="360" w:lineRule="auto"/>
              <w:jc w:val="center"/>
              <w:rPr>
                <w:rFonts w:hint="eastAsia" w:ascii="宋体" w:hAnsi="宋体" w:cs="宋体"/>
                <w:spacing w:val="20"/>
              </w:rPr>
            </w:pPr>
          </w:p>
        </w:tc>
        <w:tc>
          <w:tcPr>
            <w:tcW w:w="562" w:type="pct"/>
            <w:vAlign w:val="center"/>
          </w:tcPr>
          <w:p w14:paraId="2C4D60A1">
            <w:pPr>
              <w:spacing w:line="360" w:lineRule="auto"/>
              <w:jc w:val="center"/>
              <w:rPr>
                <w:rFonts w:hint="eastAsia" w:ascii="宋体" w:hAnsi="宋体" w:cs="宋体"/>
                <w:spacing w:val="20"/>
              </w:rPr>
            </w:pPr>
          </w:p>
        </w:tc>
        <w:tc>
          <w:tcPr>
            <w:tcW w:w="700" w:type="pct"/>
            <w:vAlign w:val="center"/>
          </w:tcPr>
          <w:p w14:paraId="2F80B82A">
            <w:pPr>
              <w:spacing w:line="360" w:lineRule="auto"/>
              <w:jc w:val="center"/>
              <w:rPr>
                <w:rFonts w:hint="eastAsia" w:ascii="宋体" w:hAnsi="宋体" w:cs="宋体"/>
                <w:spacing w:val="20"/>
              </w:rPr>
            </w:pPr>
          </w:p>
        </w:tc>
        <w:tc>
          <w:tcPr>
            <w:tcW w:w="756" w:type="pct"/>
            <w:vAlign w:val="center"/>
          </w:tcPr>
          <w:p w14:paraId="7825EC29">
            <w:pPr>
              <w:spacing w:line="360" w:lineRule="auto"/>
              <w:jc w:val="center"/>
              <w:rPr>
                <w:rFonts w:hint="eastAsia" w:ascii="宋体" w:hAnsi="宋体" w:cs="宋体"/>
                <w:spacing w:val="20"/>
              </w:rPr>
            </w:pPr>
          </w:p>
        </w:tc>
      </w:tr>
      <w:tr w14:paraId="7100A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242" w:type="pct"/>
            <w:vAlign w:val="center"/>
          </w:tcPr>
          <w:p w14:paraId="30013F37">
            <w:pPr>
              <w:spacing w:line="360" w:lineRule="auto"/>
              <w:jc w:val="center"/>
              <w:rPr>
                <w:rFonts w:hint="eastAsia" w:ascii="宋体" w:hAnsi="宋体" w:cs="宋体"/>
                <w:spacing w:val="20"/>
              </w:rPr>
            </w:pPr>
          </w:p>
        </w:tc>
        <w:tc>
          <w:tcPr>
            <w:tcW w:w="807" w:type="pct"/>
            <w:vAlign w:val="center"/>
          </w:tcPr>
          <w:p w14:paraId="3AE2E744">
            <w:pPr>
              <w:spacing w:line="360" w:lineRule="auto"/>
              <w:jc w:val="center"/>
              <w:rPr>
                <w:rFonts w:hint="eastAsia" w:ascii="宋体" w:hAnsi="宋体" w:cs="宋体"/>
                <w:spacing w:val="20"/>
              </w:rPr>
            </w:pPr>
          </w:p>
        </w:tc>
        <w:tc>
          <w:tcPr>
            <w:tcW w:w="1200" w:type="pct"/>
            <w:vAlign w:val="center"/>
          </w:tcPr>
          <w:p w14:paraId="2DCEDDB7">
            <w:pPr>
              <w:spacing w:line="360" w:lineRule="auto"/>
              <w:jc w:val="center"/>
              <w:rPr>
                <w:rFonts w:hint="eastAsia" w:ascii="宋体" w:hAnsi="宋体" w:cs="宋体"/>
                <w:spacing w:val="20"/>
              </w:rPr>
            </w:pPr>
          </w:p>
        </w:tc>
        <w:tc>
          <w:tcPr>
            <w:tcW w:w="730" w:type="pct"/>
            <w:vAlign w:val="center"/>
          </w:tcPr>
          <w:p w14:paraId="741C904A">
            <w:pPr>
              <w:spacing w:line="360" w:lineRule="auto"/>
              <w:jc w:val="center"/>
              <w:rPr>
                <w:rFonts w:hint="eastAsia" w:ascii="宋体" w:hAnsi="宋体" w:cs="宋体"/>
                <w:spacing w:val="20"/>
              </w:rPr>
            </w:pPr>
          </w:p>
        </w:tc>
        <w:tc>
          <w:tcPr>
            <w:tcW w:w="562" w:type="pct"/>
            <w:vAlign w:val="center"/>
          </w:tcPr>
          <w:p w14:paraId="06D86CC9">
            <w:pPr>
              <w:spacing w:line="360" w:lineRule="auto"/>
              <w:jc w:val="center"/>
              <w:rPr>
                <w:rFonts w:hint="eastAsia" w:ascii="宋体" w:hAnsi="宋体" w:cs="宋体"/>
                <w:spacing w:val="20"/>
              </w:rPr>
            </w:pPr>
          </w:p>
        </w:tc>
        <w:tc>
          <w:tcPr>
            <w:tcW w:w="700" w:type="pct"/>
            <w:vAlign w:val="center"/>
          </w:tcPr>
          <w:p w14:paraId="37D1FEE9">
            <w:pPr>
              <w:spacing w:line="360" w:lineRule="auto"/>
              <w:jc w:val="center"/>
              <w:rPr>
                <w:rFonts w:hint="eastAsia" w:ascii="宋体" w:hAnsi="宋体" w:cs="宋体"/>
                <w:spacing w:val="20"/>
              </w:rPr>
            </w:pPr>
          </w:p>
        </w:tc>
        <w:tc>
          <w:tcPr>
            <w:tcW w:w="756" w:type="pct"/>
            <w:vAlign w:val="center"/>
          </w:tcPr>
          <w:p w14:paraId="0E2D0AB6">
            <w:pPr>
              <w:spacing w:line="360" w:lineRule="auto"/>
              <w:jc w:val="center"/>
              <w:rPr>
                <w:rFonts w:hint="eastAsia" w:ascii="宋体" w:hAnsi="宋体" w:cs="宋体"/>
                <w:spacing w:val="20"/>
              </w:rPr>
            </w:pPr>
          </w:p>
        </w:tc>
      </w:tr>
      <w:tr w14:paraId="303D7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242" w:type="pct"/>
            <w:vAlign w:val="center"/>
          </w:tcPr>
          <w:p w14:paraId="414691E8">
            <w:pPr>
              <w:spacing w:line="360" w:lineRule="auto"/>
              <w:jc w:val="center"/>
              <w:rPr>
                <w:rFonts w:hint="eastAsia" w:ascii="宋体" w:hAnsi="宋体" w:cs="宋体"/>
                <w:spacing w:val="20"/>
              </w:rPr>
            </w:pPr>
          </w:p>
        </w:tc>
        <w:tc>
          <w:tcPr>
            <w:tcW w:w="807" w:type="pct"/>
            <w:vAlign w:val="center"/>
          </w:tcPr>
          <w:p w14:paraId="4B5840A1">
            <w:pPr>
              <w:spacing w:line="360" w:lineRule="auto"/>
              <w:jc w:val="center"/>
              <w:rPr>
                <w:rFonts w:hint="eastAsia" w:ascii="宋体" w:hAnsi="宋体" w:cs="宋体"/>
                <w:spacing w:val="20"/>
              </w:rPr>
            </w:pPr>
          </w:p>
        </w:tc>
        <w:tc>
          <w:tcPr>
            <w:tcW w:w="1200" w:type="pct"/>
            <w:vAlign w:val="center"/>
          </w:tcPr>
          <w:p w14:paraId="13B4480B">
            <w:pPr>
              <w:spacing w:line="360" w:lineRule="auto"/>
              <w:jc w:val="center"/>
              <w:rPr>
                <w:rFonts w:hint="eastAsia" w:ascii="宋体" w:hAnsi="宋体" w:cs="宋体"/>
                <w:spacing w:val="20"/>
              </w:rPr>
            </w:pPr>
          </w:p>
        </w:tc>
        <w:tc>
          <w:tcPr>
            <w:tcW w:w="730" w:type="pct"/>
            <w:vAlign w:val="center"/>
          </w:tcPr>
          <w:p w14:paraId="063C8286">
            <w:pPr>
              <w:spacing w:line="360" w:lineRule="auto"/>
              <w:jc w:val="center"/>
              <w:rPr>
                <w:rFonts w:hint="eastAsia" w:ascii="宋体" w:hAnsi="宋体" w:cs="宋体"/>
                <w:spacing w:val="20"/>
              </w:rPr>
            </w:pPr>
          </w:p>
        </w:tc>
        <w:tc>
          <w:tcPr>
            <w:tcW w:w="562" w:type="pct"/>
            <w:vAlign w:val="center"/>
          </w:tcPr>
          <w:p w14:paraId="5A680ED1">
            <w:pPr>
              <w:spacing w:line="360" w:lineRule="auto"/>
              <w:jc w:val="center"/>
              <w:rPr>
                <w:rFonts w:hint="eastAsia" w:ascii="宋体" w:hAnsi="宋体" w:cs="宋体"/>
                <w:spacing w:val="20"/>
              </w:rPr>
            </w:pPr>
          </w:p>
        </w:tc>
        <w:tc>
          <w:tcPr>
            <w:tcW w:w="700" w:type="pct"/>
            <w:vAlign w:val="center"/>
          </w:tcPr>
          <w:p w14:paraId="650D5458">
            <w:pPr>
              <w:spacing w:line="360" w:lineRule="auto"/>
              <w:jc w:val="center"/>
              <w:rPr>
                <w:rFonts w:hint="eastAsia" w:ascii="宋体" w:hAnsi="宋体" w:cs="宋体"/>
                <w:spacing w:val="20"/>
              </w:rPr>
            </w:pPr>
          </w:p>
        </w:tc>
        <w:tc>
          <w:tcPr>
            <w:tcW w:w="756" w:type="pct"/>
            <w:vAlign w:val="center"/>
          </w:tcPr>
          <w:p w14:paraId="4B69ADCD">
            <w:pPr>
              <w:spacing w:line="360" w:lineRule="auto"/>
              <w:jc w:val="center"/>
              <w:rPr>
                <w:rFonts w:hint="eastAsia" w:ascii="宋体" w:hAnsi="宋体" w:cs="宋体"/>
                <w:spacing w:val="20"/>
              </w:rPr>
            </w:pPr>
          </w:p>
        </w:tc>
      </w:tr>
    </w:tbl>
    <w:p w14:paraId="414A56B7">
      <w:pPr>
        <w:adjustRightInd w:val="0"/>
        <w:snapToGrid w:val="0"/>
        <w:spacing w:line="360" w:lineRule="auto"/>
        <w:rPr>
          <w:rFonts w:hint="eastAsia" w:ascii="宋体" w:hAnsi="宋体" w:cs="宋体"/>
        </w:rPr>
      </w:pPr>
      <w:r>
        <w:rPr>
          <w:rFonts w:hint="eastAsia" w:ascii="宋体" w:hAnsi="宋体" w:cs="宋体"/>
        </w:rPr>
        <w:t>填表说明：</w:t>
      </w:r>
    </w:p>
    <w:p w14:paraId="5BED7F39">
      <w:pPr>
        <w:adjustRightInd w:val="0"/>
        <w:snapToGrid w:val="0"/>
        <w:spacing w:line="360" w:lineRule="auto"/>
        <w:ind w:left="454"/>
        <w:rPr>
          <w:rFonts w:hint="eastAsia" w:ascii="宋体" w:hAnsi="宋体" w:cs="宋体"/>
        </w:rPr>
      </w:pPr>
      <w:r>
        <w:rPr>
          <w:rFonts w:hint="eastAsia" w:ascii="宋体" w:hAnsi="宋体" w:cs="宋体"/>
        </w:rPr>
        <w:t>1、此表不提供，可视为无业绩；</w:t>
      </w:r>
    </w:p>
    <w:p w14:paraId="41369841">
      <w:pPr>
        <w:adjustRightInd w:val="0"/>
        <w:snapToGrid w:val="0"/>
        <w:spacing w:line="360" w:lineRule="auto"/>
        <w:ind w:left="454"/>
        <w:rPr>
          <w:rFonts w:hint="eastAsia" w:ascii="宋体" w:hAnsi="宋体" w:cs="宋体"/>
        </w:rPr>
      </w:pPr>
      <w:r>
        <w:rPr>
          <w:rFonts w:hint="eastAsia" w:ascii="宋体" w:hAnsi="宋体" w:cs="宋体"/>
        </w:rPr>
        <w:t>2、此表仅提供了格式，可按实际情况更改格式，但必要内容不得缺失；</w:t>
      </w:r>
    </w:p>
    <w:p w14:paraId="667BDAB1">
      <w:pPr>
        <w:adjustRightInd w:val="0"/>
        <w:snapToGrid w:val="0"/>
        <w:spacing w:line="360" w:lineRule="auto"/>
        <w:ind w:left="454"/>
        <w:rPr>
          <w:rFonts w:hint="eastAsia" w:ascii="宋体" w:hAnsi="宋体" w:cs="宋体"/>
        </w:rPr>
      </w:pPr>
      <w:r>
        <w:rPr>
          <w:rFonts w:hint="eastAsia" w:ascii="宋体" w:hAnsi="宋体" w:cs="宋体"/>
        </w:rPr>
        <w:t>3、提供业绩证明材料：合同复印件、</w:t>
      </w:r>
      <w:r>
        <w:rPr>
          <w:rFonts w:hint="eastAsia" w:ascii="宋体" w:hAnsi="宋体" w:cs="宋体"/>
          <w:szCs w:val="21"/>
        </w:rPr>
        <w:t>业绩工作单位出具的证明复印件</w:t>
      </w:r>
      <w:r>
        <w:rPr>
          <w:rFonts w:hint="eastAsia" w:ascii="宋体" w:hAnsi="宋体" w:cs="宋体"/>
        </w:rPr>
        <w:t>等。</w:t>
      </w:r>
    </w:p>
    <w:p w14:paraId="3881936A">
      <w:pPr>
        <w:adjustRightInd w:val="0"/>
        <w:snapToGrid w:val="0"/>
        <w:spacing w:line="360" w:lineRule="auto"/>
        <w:rPr>
          <w:rFonts w:hint="eastAsia" w:ascii="宋体" w:hAnsi="宋体" w:cs="宋体"/>
        </w:rPr>
      </w:pPr>
    </w:p>
    <w:p w14:paraId="5E011E8D">
      <w:pPr>
        <w:adjustRightInd w:val="0"/>
        <w:snapToGrid w:val="0"/>
        <w:spacing w:line="360" w:lineRule="auto"/>
        <w:ind w:firstLine="420" w:firstLineChars="200"/>
        <w:rPr>
          <w:rFonts w:hint="eastAsia" w:ascii="宋体" w:hAnsi="宋体" w:cs="宋体"/>
        </w:rPr>
      </w:pPr>
      <w:r>
        <w:rPr>
          <w:rFonts w:hint="eastAsia" w:ascii="宋体" w:hAnsi="宋体" w:cs="宋体"/>
        </w:rPr>
        <w:t xml:space="preserve">供应商全称（电子印章）：    </w:t>
      </w:r>
    </w:p>
    <w:p w14:paraId="6BFDE747">
      <w:pPr>
        <w:adjustRightInd w:val="0"/>
        <w:snapToGrid w:val="0"/>
        <w:spacing w:line="360" w:lineRule="auto"/>
        <w:ind w:firstLine="420" w:firstLineChars="200"/>
        <w:rPr>
          <w:rFonts w:hint="eastAsia" w:ascii="宋体" w:hAnsi="宋体" w:cs="宋体"/>
        </w:rPr>
      </w:pPr>
      <w:r>
        <w:rPr>
          <w:rFonts w:hint="eastAsia" w:ascii="宋体" w:hAnsi="宋体" w:cs="宋体"/>
        </w:rPr>
        <w:t>日期：</w:t>
      </w:r>
    </w:p>
    <w:p w14:paraId="069E89C1">
      <w:pPr>
        <w:adjustRightInd w:val="0"/>
        <w:snapToGrid w:val="0"/>
        <w:spacing w:line="360" w:lineRule="auto"/>
        <w:rPr>
          <w:rFonts w:hint="eastAsia" w:ascii="宋体" w:hAnsi="宋体" w:cs="宋体"/>
          <w:spacing w:val="20"/>
        </w:rPr>
      </w:pPr>
    </w:p>
    <w:p w14:paraId="0B176771">
      <w:pPr>
        <w:pStyle w:val="4"/>
        <w:ind w:firstLine="0" w:firstLineChars="0"/>
        <w:rPr>
          <w:rFonts w:hint="eastAsia" w:ascii="宋体" w:hAnsi="宋体" w:cs="宋体"/>
          <w:szCs w:val="21"/>
        </w:rPr>
      </w:pPr>
      <w:bookmarkStart w:id="97" w:name="_Toc519160217"/>
      <w:bookmarkStart w:id="98" w:name="_Toc467745184"/>
      <w:bookmarkStart w:id="99" w:name="_Toc345575552"/>
      <w:r>
        <w:rPr>
          <w:rFonts w:hint="eastAsia" w:ascii="宋体" w:hAnsi="宋体" w:cs="宋体"/>
        </w:rPr>
        <w:br w:type="page"/>
      </w:r>
      <w:bookmarkEnd w:id="97"/>
      <w:bookmarkEnd w:id="98"/>
      <w:bookmarkEnd w:id="99"/>
      <w:bookmarkStart w:id="100" w:name="_Toc16844"/>
      <w:bookmarkStart w:id="101" w:name="_Toc345575547"/>
      <w:bookmarkStart w:id="102" w:name="_Toc519160218"/>
      <w:bookmarkStart w:id="103" w:name="_Toc15849"/>
      <w:bookmarkStart w:id="104" w:name="_Toc426996339"/>
      <w:bookmarkStart w:id="105" w:name="_Toc10161"/>
      <w:bookmarkStart w:id="106" w:name="_Toc25005"/>
      <w:bookmarkStart w:id="107" w:name="_Toc19848"/>
      <w:bookmarkStart w:id="108" w:name="_Toc4094"/>
      <w:bookmarkStart w:id="109" w:name="_Toc336683583"/>
      <w:r>
        <w:rPr>
          <w:rFonts w:hint="eastAsia" w:ascii="宋体" w:hAnsi="宋体" w:cs="宋体"/>
        </w:rPr>
        <w:t>八</w:t>
      </w:r>
      <w:r>
        <w:rPr>
          <w:rFonts w:hint="eastAsia" w:ascii="宋体" w:hAnsi="宋体" w:cs="宋体"/>
          <w:szCs w:val="21"/>
        </w:rPr>
        <w:t>、</w:t>
      </w:r>
      <w:bookmarkEnd w:id="100"/>
      <w:bookmarkEnd w:id="101"/>
      <w:bookmarkEnd w:id="102"/>
      <w:bookmarkEnd w:id="103"/>
      <w:bookmarkEnd w:id="104"/>
      <w:bookmarkEnd w:id="105"/>
      <w:r>
        <w:rPr>
          <w:rFonts w:hint="eastAsia" w:ascii="宋体" w:hAnsi="宋体" w:cs="宋体"/>
          <w:szCs w:val="21"/>
        </w:rPr>
        <w:t>项目团队成员简历表</w:t>
      </w:r>
      <w:bookmarkEnd w:id="106"/>
      <w:bookmarkEnd w:id="107"/>
      <w:bookmarkEnd w:id="108"/>
    </w:p>
    <w:p w14:paraId="1BE8019E">
      <w:pPr>
        <w:spacing w:line="360" w:lineRule="auto"/>
        <w:jc w:val="center"/>
        <w:rPr>
          <w:rFonts w:hint="eastAsia" w:ascii="宋体" w:hAnsi="宋体" w:cs="宋体"/>
          <w:b/>
          <w:sz w:val="28"/>
          <w:szCs w:val="28"/>
        </w:rPr>
      </w:pPr>
      <w:r>
        <w:rPr>
          <w:rFonts w:hint="eastAsia" w:ascii="宋体" w:hAnsi="宋体" w:cs="宋体"/>
          <w:b/>
          <w:sz w:val="28"/>
          <w:szCs w:val="28"/>
        </w:rPr>
        <w:t>项目团队成员简历表</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6"/>
        <w:gridCol w:w="1598"/>
        <w:gridCol w:w="1592"/>
        <w:gridCol w:w="1703"/>
        <w:gridCol w:w="1592"/>
        <w:gridCol w:w="1573"/>
      </w:tblGrid>
      <w:tr w14:paraId="03E98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66" w:type="dxa"/>
            <w:vAlign w:val="center"/>
          </w:tcPr>
          <w:p w14:paraId="2E92BA47">
            <w:pPr>
              <w:spacing w:line="360" w:lineRule="auto"/>
              <w:ind w:left="630" w:hanging="630" w:hangingChars="300"/>
              <w:jc w:val="center"/>
              <w:rPr>
                <w:rFonts w:hint="eastAsia" w:ascii="宋体" w:hAnsi="宋体" w:cs="宋体"/>
                <w:szCs w:val="21"/>
              </w:rPr>
            </w:pPr>
            <w:r>
              <w:rPr>
                <w:rFonts w:hint="eastAsia" w:ascii="宋体" w:hAnsi="宋体" w:cs="宋体"/>
                <w:szCs w:val="21"/>
              </w:rPr>
              <w:t>姓 名</w:t>
            </w:r>
          </w:p>
        </w:tc>
        <w:tc>
          <w:tcPr>
            <w:tcW w:w="1598" w:type="dxa"/>
            <w:vAlign w:val="center"/>
          </w:tcPr>
          <w:p w14:paraId="4E011241">
            <w:pPr>
              <w:spacing w:line="360" w:lineRule="auto"/>
              <w:ind w:left="630" w:hanging="630" w:hangingChars="300"/>
              <w:jc w:val="center"/>
              <w:rPr>
                <w:rFonts w:hint="eastAsia" w:ascii="宋体" w:hAnsi="宋体" w:cs="宋体"/>
                <w:szCs w:val="21"/>
              </w:rPr>
            </w:pPr>
          </w:p>
        </w:tc>
        <w:tc>
          <w:tcPr>
            <w:tcW w:w="1592" w:type="dxa"/>
            <w:vAlign w:val="center"/>
          </w:tcPr>
          <w:p w14:paraId="1A262700">
            <w:pPr>
              <w:spacing w:line="360" w:lineRule="auto"/>
              <w:ind w:left="630" w:hanging="630" w:hangingChars="300"/>
              <w:jc w:val="center"/>
              <w:rPr>
                <w:rFonts w:hint="eastAsia" w:ascii="宋体" w:hAnsi="宋体" w:cs="宋体"/>
                <w:szCs w:val="21"/>
              </w:rPr>
            </w:pPr>
            <w:r>
              <w:rPr>
                <w:rFonts w:hint="eastAsia" w:ascii="宋体" w:hAnsi="宋体" w:cs="宋体"/>
                <w:szCs w:val="21"/>
              </w:rPr>
              <w:t>性 别</w:t>
            </w:r>
          </w:p>
        </w:tc>
        <w:tc>
          <w:tcPr>
            <w:tcW w:w="1703" w:type="dxa"/>
            <w:vAlign w:val="center"/>
          </w:tcPr>
          <w:p w14:paraId="44B2E73E">
            <w:pPr>
              <w:spacing w:line="360" w:lineRule="auto"/>
              <w:ind w:left="630" w:hanging="630" w:hangingChars="300"/>
              <w:jc w:val="center"/>
              <w:rPr>
                <w:rFonts w:hint="eastAsia" w:ascii="宋体" w:hAnsi="宋体" w:cs="宋体"/>
                <w:szCs w:val="21"/>
              </w:rPr>
            </w:pPr>
          </w:p>
        </w:tc>
        <w:tc>
          <w:tcPr>
            <w:tcW w:w="1592" w:type="dxa"/>
            <w:vAlign w:val="center"/>
          </w:tcPr>
          <w:p w14:paraId="1E5E10DD">
            <w:pPr>
              <w:spacing w:line="360" w:lineRule="auto"/>
              <w:ind w:left="630" w:hanging="630" w:hangingChars="300"/>
              <w:jc w:val="center"/>
              <w:rPr>
                <w:rFonts w:hint="eastAsia" w:ascii="宋体" w:hAnsi="宋体" w:cs="宋体"/>
                <w:szCs w:val="21"/>
              </w:rPr>
            </w:pPr>
            <w:r>
              <w:rPr>
                <w:rFonts w:hint="eastAsia" w:ascii="宋体" w:hAnsi="宋体" w:cs="宋体"/>
                <w:szCs w:val="21"/>
              </w:rPr>
              <w:t>年 龄</w:t>
            </w:r>
          </w:p>
        </w:tc>
        <w:tc>
          <w:tcPr>
            <w:tcW w:w="1573" w:type="dxa"/>
            <w:vAlign w:val="center"/>
          </w:tcPr>
          <w:p w14:paraId="19B9B1E0">
            <w:pPr>
              <w:spacing w:line="360" w:lineRule="auto"/>
              <w:ind w:left="630" w:hanging="630" w:hangingChars="300"/>
              <w:jc w:val="center"/>
              <w:rPr>
                <w:rFonts w:hint="eastAsia" w:ascii="宋体" w:hAnsi="宋体" w:cs="宋体"/>
                <w:szCs w:val="21"/>
              </w:rPr>
            </w:pPr>
          </w:p>
        </w:tc>
      </w:tr>
      <w:tr w14:paraId="0C160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66" w:type="dxa"/>
            <w:vAlign w:val="center"/>
          </w:tcPr>
          <w:p w14:paraId="31A17479">
            <w:pPr>
              <w:spacing w:line="360" w:lineRule="auto"/>
              <w:ind w:left="630" w:hanging="630" w:hangingChars="300"/>
              <w:jc w:val="center"/>
              <w:rPr>
                <w:rFonts w:hint="eastAsia" w:ascii="宋体" w:hAnsi="宋体" w:cs="宋体"/>
                <w:szCs w:val="21"/>
              </w:rPr>
            </w:pPr>
            <w:r>
              <w:rPr>
                <w:rFonts w:hint="eastAsia" w:ascii="宋体" w:hAnsi="宋体" w:cs="宋体"/>
                <w:szCs w:val="21"/>
              </w:rPr>
              <w:t>资 格</w:t>
            </w:r>
          </w:p>
        </w:tc>
        <w:tc>
          <w:tcPr>
            <w:tcW w:w="1598" w:type="dxa"/>
            <w:vAlign w:val="center"/>
          </w:tcPr>
          <w:p w14:paraId="19FE1802">
            <w:pPr>
              <w:spacing w:line="360" w:lineRule="auto"/>
              <w:ind w:left="630" w:hanging="630" w:hangingChars="300"/>
              <w:jc w:val="center"/>
              <w:rPr>
                <w:rFonts w:hint="eastAsia" w:ascii="宋体" w:hAnsi="宋体" w:cs="宋体"/>
                <w:szCs w:val="21"/>
              </w:rPr>
            </w:pPr>
          </w:p>
        </w:tc>
        <w:tc>
          <w:tcPr>
            <w:tcW w:w="1592" w:type="dxa"/>
            <w:vAlign w:val="center"/>
          </w:tcPr>
          <w:p w14:paraId="43EBB43B">
            <w:pPr>
              <w:spacing w:line="360" w:lineRule="auto"/>
              <w:ind w:left="630" w:hanging="630" w:hangingChars="300"/>
              <w:jc w:val="center"/>
              <w:rPr>
                <w:rFonts w:hint="eastAsia" w:ascii="宋体" w:hAnsi="宋体" w:cs="宋体"/>
                <w:szCs w:val="21"/>
              </w:rPr>
            </w:pPr>
            <w:r>
              <w:rPr>
                <w:rFonts w:hint="eastAsia" w:ascii="宋体" w:hAnsi="宋体" w:cs="宋体"/>
                <w:szCs w:val="21"/>
              </w:rPr>
              <w:t>职 称</w:t>
            </w:r>
          </w:p>
        </w:tc>
        <w:tc>
          <w:tcPr>
            <w:tcW w:w="1703" w:type="dxa"/>
            <w:vAlign w:val="center"/>
          </w:tcPr>
          <w:p w14:paraId="446E1B6B">
            <w:pPr>
              <w:spacing w:line="360" w:lineRule="auto"/>
              <w:ind w:left="630" w:hanging="630" w:hangingChars="300"/>
              <w:jc w:val="center"/>
              <w:rPr>
                <w:rFonts w:hint="eastAsia" w:ascii="宋体" w:hAnsi="宋体" w:cs="宋体"/>
                <w:szCs w:val="21"/>
              </w:rPr>
            </w:pPr>
          </w:p>
        </w:tc>
        <w:tc>
          <w:tcPr>
            <w:tcW w:w="1592" w:type="dxa"/>
            <w:vAlign w:val="center"/>
          </w:tcPr>
          <w:p w14:paraId="4F1EA57F">
            <w:pPr>
              <w:spacing w:line="360" w:lineRule="auto"/>
              <w:ind w:left="630" w:hanging="630" w:hangingChars="300"/>
              <w:jc w:val="center"/>
              <w:rPr>
                <w:rFonts w:hint="eastAsia" w:ascii="宋体" w:hAnsi="宋体" w:cs="宋体"/>
                <w:szCs w:val="21"/>
              </w:rPr>
            </w:pPr>
            <w:r>
              <w:rPr>
                <w:rFonts w:hint="eastAsia" w:ascii="宋体" w:hAnsi="宋体" w:cs="宋体"/>
                <w:szCs w:val="21"/>
              </w:rPr>
              <w:t>团队职务</w:t>
            </w:r>
          </w:p>
        </w:tc>
        <w:tc>
          <w:tcPr>
            <w:tcW w:w="1573" w:type="dxa"/>
            <w:vAlign w:val="center"/>
          </w:tcPr>
          <w:p w14:paraId="65BFD9DE">
            <w:pPr>
              <w:spacing w:line="360" w:lineRule="auto"/>
              <w:ind w:left="630" w:hanging="630" w:hangingChars="300"/>
              <w:jc w:val="center"/>
              <w:rPr>
                <w:rFonts w:hint="eastAsia" w:ascii="宋体" w:hAnsi="宋体" w:cs="宋体"/>
                <w:szCs w:val="21"/>
              </w:rPr>
            </w:pPr>
          </w:p>
        </w:tc>
      </w:tr>
      <w:tr w14:paraId="294A4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66" w:type="dxa"/>
            <w:vAlign w:val="center"/>
          </w:tcPr>
          <w:p w14:paraId="4407D31B">
            <w:pPr>
              <w:spacing w:line="360" w:lineRule="auto"/>
              <w:ind w:left="630" w:hanging="630" w:hangingChars="300"/>
              <w:jc w:val="center"/>
              <w:rPr>
                <w:rFonts w:hint="eastAsia" w:ascii="宋体" w:hAnsi="宋体" w:cs="宋体"/>
                <w:szCs w:val="21"/>
              </w:rPr>
            </w:pPr>
            <w:r>
              <w:rPr>
                <w:rFonts w:hint="eastAsia" w:ascii="宋体" w:hAnsi="宋体" w:cs="宋体"/>
                <w:szCs w:val="21"/>
              </w:rPr>
              <w:t>学历</w:t>
            </w:r>
          </w:p>
        </w:tc>
        <w:tc>
          <w:tcPr>
            <w:tcW w:w="1598" w:type="dxa"/>
            <w:vAlign w:val="center"/>
          </w:tcPr>
          <w:p w14:paraId="7B3A7D22">
            <w:pPr>
              <w:spacing w:line="360" w:lineRule="auto"/>
              <w:ind w:left="630" w:hanging="630" w:hangingChars="300"/>
              <w:jc w:val="center"/>
              <w:rPr>
                <w:rFonts w:hint="eastAsia" w:ascii="宋体" w:hAnsi="宋体" w:cs="宋体"/>
                <w:szCs w:val="21"/>
              </w:rPr>
            </w:pPr>
          </w:p>
        </w:tc>
        <w:tc>
          <w:tcPr>
            <w:tcW w:w="1592" w:type="dxa"/>
            <w:vAlign w:val="center"/>
          </w:tcPr>
          <w:p w14:paraId="0DDF88C0">
            <w:pPr>
              <w:spacing w:line="360" w:lineRule="auto"/>
              <w:ind w:left="630" w:hanging="630" w:hangingChars="300"/>
              <w:jc w:val="center"/>
              <w:rPr>
                <w:rFonts w:hint="eastAsia" w:ascii="宋体" w:hAnsi="宋体" w:cs="宋体"/>
                <w:szCs w:val="21"/>
              </w:rPr>
            </w:pPr>
            <w:r>
              <w:rPr>
                <w:rFonts w:hint="eastAsia" w:ascii="宋体" w:hAnsi="宋体" w:cs="宋体"/>
                <w:szCs w:val="21"/>
              </w:rPr>
              <w:t>专业</w:t>
            </w:r>
          </w:p>
        </w:tc>
        <w:tc>
          <w:tcPr>
            <w:tcW w:w="1703" w:type="dxa"/>
            <w:vAlign w:val="center"/>
          </w:tcPr>
          <w:p w14:paraId="538DE9EB">
            <w:pPr>
              <w:spacing w:line="360" w:lineRule="auto"/>
              <w:ind w:left="630" w:hanging="630" w:hangingChars="300"/>
              <w:jc w:val="center"/>
              <w:rPr>
                <w:rFonts w:hint="eastAsia" w:ascii="宋体" w:hAnsi="宋体" w:cs="宋体"/>
                <w:szCs w:val="21"/>
              </w:rPr>
            </w:pPr>
          </w:p>
        </w:tc>
        <w:tc>
          <w:tcPr>
            <w:tcW w:w="1592" w:type="dxa"/>
            <w:vAlign w:val="center"/>
          </w:tcPr>
          <w:p w14:paraId="0653B0BF">
            <w:pPr>
              <w:spacing w:line="360" w:lineRule="auto"/>
              <w:ind w:left="630" w:hanging="630" w:hangingChars="300"/>
              <w:jc w:val="center"/>
              <w:rPr>
                <w:rFonts w:hint="eastAsia" w:ascii="宋体" w:hAnsi="宋体" w:cs="宋体"/>
                <w:szCs w:val="21"/>
              </w:rPr>
            </w:pPr>
            <w:r>
              <w:rPr>
                <w:rFonts w:hint="eastAsia" w:ascii="宋体" w:hAnsi="宋体" w:cs="宋体"/>
                <w:szCs w:val="21"/>
              </w:rPr>
              <w:t>工作年限</w:t>
            </w:r>
          </w:p>
        </w:tc>
        <w:tc>
          <w:tcPr>
            <w:tcW w:w="1573" w:type="dxa"/>
            <w:vAlign w:val="center"/>
          </w:tcPr>
          <w:p w14:paraId="53B030BB">
            <w:pPr>
              <w:spacing w:line="360" w:lineRule="auto"/>
              <w:ind w:left="630" w:hanging="630" w:hangingChars="300"/>
              <w:jc w:val="center"/>
              <w:rPr>
                <w:rFonts w:hint="eastAsia" w:ascii="宋体" w:hAnsi="宋体" w:cs="宋体"/>
                <w:szCs w:val="21"/>
              </w:rPr>
            </w:pPr>
          </w:p>
        </w:tc>
      </w:tr>
      <w:tr w14:paraId="0D907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66" w:type="dxa"/>
            <w:vAlign w:val="center"/>
          </w:tcPr>
          <w:p w14:paraId="21E91BDB">
            <w:pPr>
              <w:spacing w:line="360" w:lineRule="auto"/>
              <w:ind w:left="630" w:hanging="630" w:hangingChars="300"/>
              <w:jc w:val="center"/>
              <w:rPr>
                <w:rFonts w:hint="eastAsia" w:ascii="宋体" w:hAnsi="宋体" w:cs="宋体"/>
                <w:szCs w:val="21"/>
              </w:rPr>
            </w:pPr>
            <w:r>
              <w:rPr>
                <w:rFonts w:hint="eastAsia" w:ascii="宋体" w:hAnsi="宋体" w:cs="宋体"/>
                <w:szCs w:val="21"/>
              </w:rPr>
              <w:t>联系电话</w:t>
            </w:r>
          </w:p>
        </w:tc>
        <w:tc>
          <w:tcPr>
            <w:tcW w:w="3190" w:type="dxa"/>
            <w:gridSpan w:val="2"/>
            <w:vAlign w:val="center"/>
          </w:tcPr>
          <w:p w14:paraId="06DE60DA">
            <w:pPr>
              <w:spacing w:line="360" w:lineRule="auto"/>
              <w:ind w:left="630" w:hanging="630" w:hangingChars="300"/>
              <w:jc w:val="center"/>
              <w:rPr>
                <w:rFonts w:hint="eastAsia" w:ascii="宋体" w:hAnsi="宋体" w:cs="宋体"/>
                <w:szCs w:val="21"/>
              </w:rPr>
            </w:pPr>
          </w:p>
        </w:tc>
        <w:tc>
          <w:tcPr>
            <w:tcW w:w="1703" w:type="dxa"/>
            <w:vAlign w:val="center"/>
          </w:tcPr>
          <w:p w14:paraId="1C3638D4">
            <w:pPr>
              <w:spacing w:line="360" w:lineRule="auto"/>
              <w:ind w:left="630" w:hanging="630" w:hangingChars="300"/>
              <w:jc w:val="center"/>
              <w:rPr>
                <w:rFonts w:hint="eastAsia" w:ascii="宋体" w:hAnsi="宋体" w:cs="宋体"/>
                <w:szCs w:val="21"/>
              </w:rPr>
            </w:pPr>
            <w:r>
              <w:rPr>
                <w:rFonts w:hint="eastAsia" w:ascii="宋体" w:hAnsi="宋体" w:cs="宋体"/>
                <w:szCs w:val="21"/>
              </w:rPr>
              <w:t>手 机</w:t>
            </w:r>
          </w:p>
        </w:tc>
        <w:tc>
          <w:tcPr>
            <w:tcW w:w="3165" w:type="dxa"/>
            <w:gridSpan w:val="2"/>
            <w:vAlign w:val="center"/>
          </w:tcPr>
          <w:p w14:paraId="672EE83E">
            <w:pPr>
              <w:spacing w:line="360" w:lineRule="auto"/>
              <w:ind w:left="630" w:hanging="630" w:hangingChars="300"/>
              <w:jc w:val="center"/>
              <w:rPr>
                <w:rFonts w:hint="eastAsia" w:ascii="宋体" w:hAnsi="宋体" w:cs="宋体"/>
                <w:szCs w:val="21"/>
              </w:rPr>
            </w:pPr>
          </w:p>
        </w:tc>
      </w:tr>
      <w:tr w14:paraId="42530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2" w:hRule="atLeast"/>
        </w:trPr>
        <w:tc>
          <w:tcPr>
            <w:tcW w:w="9624" w:type="dxa"/>
            <w:gridSpan w:val="6"/>
          </w:tcPr>
          <w:p w14:paraId="7AB66524">
            <w:pPr>
              <w:spacing w:line="360" w:lineRule="auto"/>
              <w:ind w:left="630" w:hanging="630" w:hangingChars="300"/>
              <w:rPr>
                <w:rFonts w:hint="eastAsia" w:ascii="宋体" w:hAnsi="宋体" w:cs="宋体"/>
                <w:szCs w:val="21"/>
              </w:rPr>
            </w:pPr>
            <w:r>
              <w:rPr>
                <w:rFonts w:hint="eastAsia" w:ascii="宋体" w:hAnsi="宋体" w:cs="宋体"/>
                <w:szCs w:val="21"/>
              </w:rPr>
              <w:t>从事相关工作经历及业绩：</w:t>
            </w:r>
          </w:p>
        </w:tc>
      </w:tr>
    </w:tbl>
    <w:p w14:paraId="0759E79E">
      <w:pPr>
        <w:spacing w:line="360" w:lineRule="auto"/>
        <w:ind w:left="630" w:hanging="630" w:hangingChars="300"/>
        <w:rPr>
          <w:rFonts w:hint="eastAsia" w:ascii="宋体" w:hAnsi="宋体" w:cs="宋体"/>
          <w:szCs w:val="21"/>
        </w:rPr>
      </w:pPr>
      <w:r>
        <w:rPr>
          <w:rFonts w:hint="eastAsia" w:ascii="宋体" w:hAnsi="宋体" w:cs="宋体"/>
          <w:szCs w:val="21"/>
        </w:rPr>
        <w:t xml:space="preserve"> 附身份证及相关证书复印件，原件备查。</w:t>
      </w:r>
    </w:p>
    <w:p w14:paraId="1F173ADE">
      <w:pPr>
        <w:adjustRightInd w:val="0"/>
        <w:snapToGrid w:val="0"/>
        <w:spacing w:line="360" w:lineRule="auto"/>
        <w:ind w:firstLine="420" w:firstLineChars="200"/>
        <w:rPr>
          <w:rFonts w:hint="eastAsia" w:ascii="宋体" w:hAnsi="宋体" w:cs="宋体"/>
        </w:rPr>
      </w:pPr>
    </w:p>
    <w:p w14:paraId="593A1F67">
      <w:pPr>
        <w:adjustRightInd w:val="0"/>
        <w:snapToGrid w:val="0"/>
        <w:spacing w:line="360" w:lineRule="auto"/>
        <w:ind w:firstLine="420" w:firstLineChars="200"/>
        <w:rPr>
          <w:rFonts w:hint="eastAsia" w:ascii="宋体" w:hAnsi="宋体" w:cs="宋体"/>
        </w:rPr>
      </w:pPr>
    </w:p>
    <w:p w14:paraId="25D39A92">
      <w:pPr>
        <w:adjustRightInd w:val="0"/>
        <w:snapToGrid w:val="0"/>
        <w:spacing w:line="360" w:lineRule="auto"/>
        <w:ind w:firstLine="420" w:firstLineChars="200"/>
        <w:rPr>
          <w:rFonts w:hint="eastAsia" w:ascii="宋体" w:hAnsi="宋体" w:cs="宋体"/>
        </w:rPr>
      </w:pPr>
      <w:r>
        <w:rPr>
          <w:rFonts w:hint="eastAsia" w:ascii="宋体" w:hAnsi="宋体" w:cs="宋体"/>
        </w:rPr>
        <w:t xml:space="preserve">供应商全称（电子印章）：   </w:t>
      </w:r>
    </w:p>
    <w:p w14:paraId="41DD98F3">
      <w:pPr>
        <w:adjustRightInd w:val="0"/>
        <w:snapToGrid w:val="0"/>
        <w:spacing w:line="360" w:lineRule="auto"/>
        <w:ind w:firstLine="420" w:firstLineChars="200"/>
        <w:rPr>
          <w:rFonts w:hint="eastAsia" w:ascii="宋体" w:hAnsi="宋体" w:cs="宋体"/>
        </w:rPr>
      </w:pPr>
      <w:r>
        <w:rPr>
          <w:rFonts w:hint="eastAsia" w:ascii="宋体" w:hAnsi="宋体" w:cs="宋体"/>
        </w:rPr>
        <w:t>日期：</w:t>
      </w:r>
    </w:p>
    <w:p w14:paraId="6D4167CF">
      <w:pPr>
        <w:tabs>
          <w:tab w:val="left" w:pos="720"/>
        </w:tabs>
        <w:adjustRightInd w:val="0"/>
        <w:snapToGrid w:val="0"/>
        <w:spacing w:line="360" w:lineRule="auto"/>
        <w:ind w:firstLine="420" w:firstLineChars="200"/>
        <w:rPr>
          <w:rFonts w:hint="eastAsia" w:ascii="宋体" w:hAnsi="宋体" w:cs="宋体"/>
          <w:szCs w:val="21"/>
        </w:rPr>
      </w:pPr>
    </w:p>
    <w:p w14:paraId="01385F9F">
      <w:pPr>
        <w:spacing w:line="360" w:lineRule="auto"/>
        <w:ind w:firstLine="420" w:firstLineChars="200"/>
        <w:rPr>
          <w:rFonts w:hint="eastAsia" w:ascii="宋体" w:hAnsi="宋体" w:cs="宋体"/>
        </w:rPr>
      </w:pPr>
    </w:p>
    <w:p w14:paraId="6AB90E22">
      <w:pPr>
        <w:adjustRightInd w:val="0"/>
        <w:snapToGrid w:val="0"/>
        <w:spacing w:line="360" w:lineRule="auto"/>
        <w:rPr>
          <w:rFonts w:hint="eastAsia" w:ascii="宋体" w:hAnsi="宋体" w:cs="宋体"/>
        </w:rPr>
      </w:pPr>
      <w:bookmarkStart w:id="110" w:name="_Toc19652"/>
      <w:bookmarkStart w:id="111" w:name="_Toc32683"/>
      <w:bookmarkStart w:id="112" w:name="_Toc30237"/>
      <w:bookmarkStart w:id="113" w:name="_Toc519160221"/>
    </w:p>
    <w:p w14:paraId="5860111B">
      <w:pPr>
        <w:pStyle w:val="4"/>
        <w:ind w:firstLine="0" w:firstLineChars="0"/>
        <w:rPr>
          <w:rFonts w:hint="eastAsia" w:ascii="宋体" w:hAnsi="宋体" w:cs="宋体"/>
          <w:szCs w:val="21"/>
        </w:rPr>
      </w:pPr>
      <w:r>
        <w:rPr>
          <w:rFonts w:hint="eastAsia" w:ascii="宋体" w:hAnsi="宋体" w:cs="宋体"/>
          <w:szCs w:val="21"/>
        </w:rPr>
        <w:br w:type="page"/>
      </w:r>
      <w:bookmarkStart w:id="114" w:name="_Toc2678"/>
      <w:bookmarkStart w:id="115" w:name="_Toc5477"/>
      <w:bookmarkStart w:id="116" w:name="_Toc25462"/>
      <w:r>
        <w:rPr>
          <w:rFonts w:hint="eastAsia" w:ascii="宋体" w:hAnsi="宋体" w:cs="宋体"/>
          <w:szCs w:val="21"/>
        </w:rPr>
        <w:t>九、</w:t>
      </w:r>
      <w:bookmarkEnd w:id="110"/>
      <w:bookmarkEnd w:id="111"/>
      <w:bookmarkEnd w:id="112"/>
      <w:bookmarkEnd w:id="113"/>
      <w:r>
        <w:rPr>
          <w:rFonts w:hint="eastAsia" w:ascii="宋体" w:hAnsi="宋体" w:cs="宋体"/>
          <w:szCs w:val="21"/>
        </w:rPr>
        <w:t>岗位员工配置计划表</w:t>
      </w:r>
      <w:bookmarkEnd w:id="114"/>
      <w:bookmarkEnd w:id="115"/>
      <w:bookmarkEnd w:id="116"/>
    </w:p>
    <w:p w14:paraId="787D2D8B">
      <w:pPr>
        <w:spacing w:line="360" w:lineRule="auto"/>
        <w:jc w:val="center"/>
        <w:rPr>
          <w:rFonts w:hint="eastAsia" w:ascii="宋体" w:hAnsi="宋体" w:cs="宋体"/>
          <w:b/>
          <w:sz w:val="28"/>
          <w:szCs w:val="28"/>
        </w:rPr>
      </w:pPr>
      <w:r>
        <w:rPr>
          <w:rFonts w:hint="eastAsia" w:ascii="宋体" w:hAnsi="宋体" w:cs="宋体"/>
          <w:b/>
          <w:sz w:val="28"/>
          <w:szCs w:val="28"/>
        </w:rPr>
        <w:t>岗位员工配置计划表</w:t>
      </w:r>
    </w:p>
    <w:p w14:paraId="75492D8C">
      <w:pPr>
        <w:widowControl/>
        <w:spacing w:line="360" w:lineRule="auto"/>
        <w:jc w:val="center"/>
        <w:rPr>
          <w:rFonts w:hint="eastAsia" w:ascii="宋体" w:hAnsi="宋体" w:cs="宋体"/>
          <w:b/>
          <w:kern w:val="0"/>
          <w:sz w:val="24"/>
        </w:rPr>
      </w:pP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2052"/>
        <w:gridCol w:w="1678"/>
        <w:gridCol w:w="1587"/>
        <w:gridCol w:w="2331"/>
        <w:gridCol w:w="1306"/>
      </w:tblGrid>
      <w:tr w14:paraId="15452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vAlign w:val="center"/>
          </w:tcPr>
          <w:p w14:paraId="13653E09">
            <w:pPr>
              <w:spacing w:line="360" w:lineRule="auto"/>
              <w:ind w:right="-144"/>
              <w:jc w:val="center"/>
              <w:rPr>
                <w:rFonts w:hint="eastAsia" w:ascii="宋体" w:hAnsi="宋体" w:cs="宋体"/>
                <w:b/>
                <w:szCs w:val="21"/>
              </w:rPr>
            </w:pPr>
            <w:r>
              <w:rPr>
                <w:rFonts w:hint="eastAsia" w:ascii="宋体" w:hAnsi="宋体" w:cs="宋体"/>
                <w:b/>
                <w:szCs w:val="21"/>
              </w:rPr>
              <w:t>序号</w:t>
            </w:r>
          </w:p>
        </w:tc>
        <w:tc>
          <w:tcPr>
            <w:tcW w:w="2052" w:type="dxa"/>
            <w:vAlign w:val="center"/>
          </w:tcPr>
          <w:p w14:paraId="2E09A195">
            <w:pPr>
              <w:spacing w:line="360" w:lineRule="auto"/>
              <w:ind w:right="-144"/>
              <w:jc w:val="center"/>
              <w:rPr>
                <w:rFonts w:hint="eastAsia" w:ascii="宋体" w:hAnsi="宋体" w:cs="宋体"/>
                <w:b/>
                <w:szCs w:val="21"/>
              </w:rPr>
            </w:pPr>
            <w:r>
              <w:rPr>
                <w:rFonts w:hint="eastAsia" w:ascii="宋体" w:hAnsi="宋体" w:cs="宋体"/>
                <w:b/>
                <w:szCs w:val="21"/>
              </w:rPr>
              <w:t>工作岗位</w:t>
            </w:r>
          </w:p>
        </w:tc>
        <w:tc>
          <w:tcPr>
            <w:tcW w:w="1678" w:type="dxa"/>
            <w:vAlign w:val="center"/>
          </w:tcPr>
          <w:p w14:paraId="4288A174">
            <w:pPr>
              <w:spacing w:line="360" w:lineRule="auto"/>
              <w:jc w:val="center"/>
              <w:rPr>
                <w:rFonts w:hint="eastAsia" w:ascii="宋体" w:hAnsi="宋体" w:cs="宋体"/>
                <w:b/>
                <w:szCs w:val="21"/>
              </w:rPr>
            </w:pPr>
            <w:r>
              <w:rPr>
                <w:rFonts w:hint="eastAsia" w:ascii="宋体" w:hAnsi="宋体" w:cs="宋体"/>
                <w:b/>
                <w:szCs w:val="21"/>
              </w:rPr>
              <w:t>服务范围</w:t>
            </w:r>
          </w:p>
        </w:tc>
        <w:tc>
          <w:tcPr>
            <w:tcW w:w="1587" w:type="dxa"/>
            <w:vAlign w:val="center"/>
          </w:tcPr>
          <w:p w14:paraId="0EA6AE31">
            <w:pPr>
              <w:tabs>
                <w:tab w:val="left" w:pos="1082"/>
              </w:tabs>
              <w:spacing w:line="360" w:lineRule="auto"/>
              <w:ind w:right="-70"/>
              <w:jc w:val="center"/>
              <w:rPr>
                <w:rFonts w:hint="eastAsia" w:ascii="宋体" w:hAnsi="宋体" w:cs="宋体"/>
                <w:b/>
                <w:szCs w:val="21"/>
              </w:rPr>
            </w:pPr>
            <w:r>
              <w:rPr>
                <w:rFonts w:hint="eastAsia" w:ascii="宋体" w:hAnsi="宋体" w:cs="宋体"/>
                <w:b/>
                <w:szCs w:val="21"/>
              </w:rPr>
              <w:t>配置人员数</w:t>
            </w:r>
          </w:p>
          <w:p w14:paraId="2B75597B">
            <w:pPr>
              <w:tabs>
                <w:tab w:val="left" w:pos="1082"/>
              </w:tabs>
              <w:spacing w:line="360" w:lineRule="auto"/>
              <w:ind w:right="-70"/>
              <w:jc w:val="center"/>
              <w:rPr>
                <w:rFonts w:hint="eastAsia" w:ascii="宋体" w:hAnsi="宋体" w:cs="宋体"/>
                <w:b/>
                <w:szCs w:val="21"/>
              </w:rPr>
            </w:pPr>
            <w:r>
              <w:rPr>
                <w:rFonts w:hint="eastAsia" w:ascii="宋体" w:hAnsi="宋体" w:cs="宋体"/>
                <w:b/>
                <w:szCs w:val="21"/>
              </w:rPr>
              <w:t>（单位：人）</w:t>
            </w:r>
          </w:p>
        </w:tc>
        <w:tc>
          <w:tcPr>
            <w:tcW w:w="2331" w:type="dxa"/>
            <w:vAlign w:val="center"/>
          </w:tcPr>
          <w:p w14:paraId="4FF688B1">
            <w:pPr>
              <w:spacing w:line="360" w:lineRule="auto"/>
              <w:jc w:val="center"/>
              <w:rPr>
                <w:rFonts w:hint="eastAsia" w:ascii="宋体" w:hAnsi="宋体" w:cs="宋体"/>
                <w:b/>
                <w:szCs w:val="21"/>
              </w:rPr>
            </w:pPr>
            <w:r>
              <w:rPr>
                <w:rFonts w:hint="eastAsia" w:ascii="宋体" w:hAnsi="宋体" w:cs="宋体"/>
                <w:b/>
                <w:szCs w:val="21"/>
              </w:rPr>
              <w:t>工作/岗位内容简述</w:t>
            </w:r>
          </w:p>
        </w:tc>
        <w:tc>
          <w:tcPr>
            <w:tcW w:w="1306" w:type="dxa"/>
            <w:vAlign w:val="center"/>
          </w:tcPr>
          <w:p w14:paraId="3FE6D34E">
            <w:pPr>
              <w:tabs>
                <w:tab w:val="left" w:pos="1584"/>
              </w:tabs>
              <w:spacing w:line="360" w:lineRule="auto"/>
              <w:jc w:val="center"/>
              <w:rPr>
                <w:rFonts w:hint="eastAsia" w:ascii="宋体" w:hAnsi="宋体" w:cs="宋体"/>
                <w:b/>
                <w:szCs w:val="21"/>
              </w:rPr>
            </w:pPr>
            <w:r>
              <w:rPr>
                <w:rFonts w:hint="eastAsia" w:ascii="宋体" w:hAnsi="宋体" w:cs="宋体"/>
                <w:b/>
                <w:szCs w:val="21"/>
              </w:rPr>
              <w:t>服务标准</w:t>
            </w:r>
          </w:p>
        </w:tc>
      </w:tr>
      <w:tr w14:paraId="63E92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670" w:type="dxa"/>
            <w:vAlign w:val="center"/>
          </w:tcPr>
          <w:p w14:paraId="19A1E6DA">
            <w:pPr>
              <w:spacing w:line="360" w:lineRule="auto"/>
              <w:ind w:right="-144"/>
              <w:jc w:val="center"/>
              <w:rPr>
                <w:rFonts w:hint="eastAsia" w:ascii="宋体" w:hAnsi="宋体" w:cs="宋体"/>
                <w:b/>
                <w:szCs w:val="21"/>
              </w:rPr>
            </w:pPr>
            <w:r>
              <w:rPr>
                <w:rFonts w:hint="eastAsia" w:ascii="宋体" w:hAnsi="宋体" w:cs="宋体"/>
                <w:b/>
                <w:szCs w:val="21"/>
              </w:rPr>
              <w:t>1</w:t>
            </w:r>
          </w:p>
        </w:tc>
        <w:tc>
          <w:tcPr>
            <w:tcW w:w="2052" w:type="dxa"/>
            <w:vAlign w:val="center"/>
          </w:tcPr>
          <w:p w14:paraId="7321F283">
            <w:pPr>
              <w:spacing w:line="360" w:lineRule="auto"/>
              <w:ind w:right="840"/>
              <w:jc w:val="center"/>
              <w:rPr>
                <w:rFonts w:hint="eastAsia" w:ascii="宋体" w:hAnsi="宋体" w:cs="宋体"/>
                <w:b/>
                <w:szCs w:val="21"/>
              </w:rPr>
            </w:pPr>
          </w:p>
        </w:tc>
        <w:tc>
          <w:tcPr>
            <w:tcW w:w="1678" w:type="dxa"/>
            <w:vAlign w:val="center"/>
          </w:tcPr>
          <w:p w14:paraId="78618A11">
            <w:pPr>
              <w:spacing w:line="360" w:lineRule="auto"/>
              <w:ind w:right="840"/>
              <w:jc w:val="center"/>
              <w:rPr>
                <w:rFonts w:hint="eastAsia" w:ascii="宋体" w:hAnsi="宋体" w:cs="宋体"/>
                <w:b/>
                <w:szCs w:val="21"/>
              </w:rPr>
            </w:pPr>
          </w:p>
        </w:tc>
        <w:tc>
          <w:tcPr>
            <w:tcW w:w="1587" w:type="dxa"/>
            <w:vAlign w:val="center"/>
          </w:tcPr>
          <w:p w14:paraId="50FA9F64">
            <w:pPr>
              <w:spacing w:line="360" w:lineRule="auto"/>
              <w:ind w:right="840"/>
              <w:jc w:val="center"/>
              <w:rPr>
                <w:rFonts w:hint="eastAsia" w:ascii="宋体" w:hAnsi="宋体" w:cs="宋体"/>
                <w:b/>
                <w:szCs w:val="21"/>
              </w:rPr>
            </w:pPr>
          </w:p>
        </w:tc>
        <w:tc>
          <w:tcPr>
            <w:tcW w:w="2331" w:type="dxa"/>
            <w:vAlign w:val="center"/>
          </w:tcPr>
          <w:p w14:paraId="39C1AADA">
            <w:pPr>
              <w:spacing w:line="360" w:lineRule="auto"/>
              <w:ind w:right="840"/>
              <w:jc w:val="center"/>
              <w:rPr>
                <w:rFonts w:hint="eastAsia" w:ascii="宋体" w:hAnsi="宋体" w:cs="宋体"/>
                <w:b/>
                <w:szCs w:val="21"/>
              </w:rPr>
            </w:pPr>
          </w:p>
        </w:tc>
        <w:tc>
          <w:tcPr>
            <w:tcW w:w="1306" w:type="dxa"/>
            <w:vAlign w:val="center"/>
          </w:tcPr>
          <w:p w14:paraId="55C439C5">
            <w:pPr>
              <w:spacing w:line="360" w:lineRule="auto"/>
              <w:ind w:right="840"/>
              <w:jc w:val="center"/>
              <w:rPr>
                <w:rFonts w:hint="eastAsia" w:ascii="宋体" w:hAnsi="宋体" w:cs="宋体"/>
                <w:b/>
                <w:szCs w:val="21"/>
              </w:rPr>
            </w:pPr>
          </w:p>
        </w:tc>
      </w:tr>
      <w:tr w14:paraId="6B512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670" w:type="dxa"/>
            <w:vAlign w:val="center"/>
          </w:tcPr>
          <w:p w14:paraId="0369C14C">
            <w:pPr>
              <w:spacing w:line="360" w:lineRule="auto"/>
              <w:ind w:right="-144"/>
              <w:jc w:val="center"/>
              <w:rPr>
                <w:rFonts w:hint="eastAsia" w:ascii="宋体" w:hAnsi="宋体" w:cs="宋体"/>
                <w:b/>
                <w:szCs w:val="21"/>
              </w:rPr>
            </w:pPr>
            <w:r>
              <w:rPr>
                <w:rFonts w:hint="eastAsia" w:ascii="宋体" w:hAnsi="宋体" w:cs="宋体"/>
                <w:b/>
                <w:szCs w:val="21"/>
              </w:rPr>
              <w:t>2</w:t>
            </w:r>
          </w:p>
        </w:tc>
        <w:tc>
          <w:tcPr>
            <w:tcW w:w="2052" w:type="dxa"/>
            <w:vAlign w:val="center"/>
          </w:tcPr>
          <w:p w14:paraId="0B2932E4">
            <w:pPr>
              <w:spacing w:line="360" w:lineRule="auto"/>
              <w:ind w:right="840"/>
              <w:jc w:val="center"/>
              <w:rPr>
                <w:rFonts w:hint="eastAsia" w:ascii="宋体" w:hAnsi="宋体" w:cs="宋体"/>
                <w:b/>
                <w:szCs w:val="21"/>
              </w:rPr>
            </w:pPr>
          </w:p>
        </w:tc>
        <w:tc>
          <w:tcPr>
            <w:tcW w:w="1678" w:type="dxa"/>
            <w:vAlign w:val="center"/>
          </w:tcPr>
          <w:p w14:paraId="469203BC">
            <w:pPr>
              <w:spacing w:line="360" w:lineRule="auto"/>
              <w:ind w:right="840"/>
              <w:jc w:val="center"/>
              <w:rPr>
                <w:rFonts w:hint="eastAsia" w:ascii="宋体" w:hAnsi="宋体" w:cs="宋体"/>
                <w:b/>
                <w:szCs w:val="21"/>
              </w:rPr>
            </w:pPr>
          </w:p>
        </w:tc>
        <w:tc>
          <w:tcPr>
            <w:tcW w:w="1587" w:type="dxa"/>
            <w:vAlign w:val="center"/>
          </w:tcPr>
          <w:p w14:paraId="6AA611E5">
            <w:pPr>
              <w:spacing w:line="360" w:lineRule="auto"/>
              <w:ind w:right="840"/>
              <w:jc w:val="center"/>
              <w:rPr>
                <w:rFonts w:hint="eastAsia" w:ascii="宋体" w:hAnsi="宋体" w:cs="宋体"/>
                <w:b/>
                <w:szCs w:val="21"/>
              </w:rPr>
            </w:pPr>
          </w:p>
        </w:tc>
        <w:tc>
          <w:tcPr>
            <w:tcW w:w="2331" w:type="dxa"/>
            <w:vAlign w:val="center"/>
          </w:tcPr>
          <w:p w14:paraId="00096CCA">
            <w:pPr>
              <w:spacing w:line="360" w:lineRule="auto"/>
              <w:ind w:right="840"/>
              <w:jc w:val="center"/>
              <w:rPr>
                <w:rFonts w:hint="eastAsia" w:ascii="宋体" w:hAnsi="宋体" w:cs="宋体"/>
                <w:b/>
                <w:szCs w:val="21"/>
              </w:rPr>
            </w:pPr>
          </w:p>
        </w:tc>
        <w:tc>
          <w:tcPr>
            <w:tcW w:w="1306" w:type="dxa"/>
            <w:vAlign w:val="center"/>
          </w:tcPr>
          <w:p w14:paraId="049F38C2">
            <w:pPr>
              <w:spacing w:line="360" w:lineRule="auto"/>
              <w:ind w:right="840"/>
              <w:jc w:val="center"/>
              <w:rPr>
                <w:rFonts w:hint="eastAsia" w:ascii="宋体" w:hAnsi="宋体" w:cs="宋体"/>
                <w:b/>
                <w:szCs w:val="21"/>
              </w:rPr>
            </w:pPr>
          </w:p>
        </w:tc>
      </w:tr>
      <w:tr w14:paraId="6E9E7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670" w:type="dxa"/>
            <w:vAlign w:val="center"/>
          </w:tcPr>
          <w:p w14:paraId="234D0995">
            <w:pPr>
              <w:spacing w:line="360" w:lineRule="auto"/>
              <w:ind w:right="-144"/>
              <w:jc w:val="center"/>
              <w:rPr>
                <w:rFonts w:hint="eastAsia" w:ascii="宋体" w:hAnsi="宋体" w:cs="宋体"/>
                <w:b/>
                <w:szCs w:val="21"/>
              </w:rPr>
            </w:pPr>
            <w:r>
              <w:rPr>
                <w:rFonts w:hint="eastAsia" w:ascii="宋体" w:hAnsi="宋体" w:cs="宋体"/>
                <w:b/>
                <w:szCs w:val="21"/>
              </w:rPr>
              <w:t>3</w:t>
            </w:r>
          </w:p>
        </w:tc>
        <w:tc>
          <w:tcPr>
            <w:tcW w:w="2052" w:type="dxa"/>
            <w:vAlign w:val="center"/>
          </w:tcPr>
          <w:p w14:paraId="5D754F00">
            <w:pPr>
              <w:spacing w:line="360" w:lineRule="auto"/>
              <w:ind w:right="840"/>
              <w:jc w:val="center"/>
              <w:rPr>
                <w:rFonts w:hint="eastAsia" w:ascii="宋体" w:hAnsi="宋体" w:cs="宋体"/>
                <w:b/>
                <w:szCs w:val="21"/>
              </w:rPr>
            </w:pPr>
          </w:p>
        </w:tc>
        <w:tc>
          <w:tcPr>
            <w:tcW w:w="1678" w:type="dxa"/>
            <w:vAlign w:val="center"/>
          </w:tcPr>
          <w:p w14:paraId="7864A3D7">
            <w:pPr>
              <w:spacing w:line="360" w:lineRule="auto"/>
              <w:ind w:right="840"/>
              <w:jc w:val="center"/>
              <w:rPr>
                <w:rFonts w:hint="eastAsia" w:ascii="宋体" w:hAnsi="宋体" w:cs="宋体"/>
                <w:b/>
                <w:szCs w:val="21"/>
              </w:rPr>
            </w:pPr>
          </w:p>
        </w:tc>
        <w:tc>
          <w:tcPr>
            <w:tcW w:w="1587" w:type="dxa"/>
            <w:vAlign w:val="center"/>
          </w:tcPr>
          <w:p w14:paraId="47EE5E13">
            <w:pPr>
              <w:spacing w:line="360" w:lineRule="auto"/>
              <w:ind w:right="840"/>
              <w:jc w:val="center"/>
              <w:rPr>
                <w:rFonts w:hint="eastAsia" w:ascii="宋体" w:hAnsi="宋体" w:cs="宋体"/>
                <w:b/>
                <w:szCs w:val="21"/>
              </w:rPr>
            </w:pPr>
          </w:p>
        </w:tc>
        <w:tc>
          <w:tcPr>
            <w:tcW w:w="2331" w:type="dxa"/>
            <w:vAlign w:val="center"/>
          </w:tcPr>
          <w:p w14:paraId="1E9BD931">
            <w:pPr>
              <w:spacing w:line="360" w:lineRule="auto"/>
              <w:ind w:right="840"/>
              <w:jc w:val="center"/>
              <w:rPr>
                <w:rFonts w:hint="eastAsia" w:ascii="宋体" w:hAnsi="宋体" w:cs="宋体"/>
                <w:b/>
                <w:szCs w:val="21"/>
              </w:rPr>
            </w:pPr>
          </w:p>
        </w:tc>
        <w:tc>
          <w:tcPr>
            <w:tcW w:w="1306" w:type="dxa"/>
            <w:vAlign w:val="center"/>
          </w:tcPr>
          <w:p w14:paraId="5BE801EB">
            <w:pPr>
              <w:spacing w:line="360" w:lineRule="auto"/>
              <w:ind w:right="840"/>
              <w:jc w:val="center"/>
              <w:rPr>
                <w:rFonts w:hint="eastAsia" w:ascii="宋体" w:hAnsi="宋体" w:cs="宋体"/>
                <w:b/>
                <w:szCs w:val="21"/>
              </w:rPr>
            </w:pPr>
          </w:p>
        </w:tc>
      </w:tr>
      <w:tr w14:paraId="3D854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670" w:type="dxa"/>
            <w:vAlign w:val="center"/>
          </w:tcPr>
          <w:p w14:paraId="50F0C887">
            <w:pPr>
              <w:spacing w:line="360" w:lineRule="auto"/>
              <w:ind w:right="-144"/>
              <w:jc w:val="center"/>
              <w:rPr>
                <w:rFonts w:hint="eastAsia" w:ascii="宋体" w:hAnsi="宋体" w:cs="宋体"/>
                <w:b/>
                <w:szCs w:val="21"/>
              </w:rPr>
            </w:pPr>
            <w:r>
              <w:rPr>
                <w:rFonts w:hint="eastAsia" w:ascii="宋体" w:hAnsi="宋体" w:cs="宋体"/>
                <w:b/>
                <w:szCs w:val="21"/>
              </w:rPr>
              <w:t>...</w:t>
            </w:r>
          </w:p>
        </w:tc>
        <w:tc>
          <w:tcPr>
            <w:tcW w:w="2052" w:type="dxa"/>
            <w:vAlign w:val="center"/>
          </w:tcPr>
          <w:p w14:paraId="4049C02E">
            <w:pPr>
              <w:spacing w:line="360" w:lineRule="auto"/>
              <w:ind w:right="840"/>
              <w:jc w:val="center"/>
              <w:rPr>
                <w:rFonts w:hint="eastAsia" w:ascii="宋体" w:hAnsi="宋体" w:cs="宋体"/>
                <w:b/>
                <w:szCs w:val="21"/>
              </w:rPr>
            </w:pPr>
          </w:p>
        </w:tc>
        <w:tc>
          <w:tcPr>
            <w:tcW w:w="1678" w:type="dxa"/>
            <w:vAlign w:val="center"/>
          </w:tcPr>
          <w:p w14:paraId="685E7615">
            <w:pPr>
              <w:spacing w:line="360" w:lineRule="auto"/>
              <w:ind w:right="840"/>
              <w:jc w:val="center"/>
              <w:rPr>
                <w:rFonts w:hint="eastAsia" w:ascii="宋体" w:hAnsi="宋体" w:cs="宋体"/>
                <w:b/>
                <w:szCs w:val="21"/>
              </w:rPr>
            </w:pPr>
          </w:p>
        </w:tc>
        <w:tc>
          <w:tcPr>
            <w:tcW w:w="1587" w:type="dxa"/>
            <w:vAlign w:val="center"/>
          </w:tcPr>
          <w:p w14:paraId="0AE4E783">
            <w:pPr>
              <w:spacing w:line="360" w:lineRule="auto"/>
              <w:ind w:right="840"/>
              <w:jc w:val="center"/>
              <w:rPr>
                <w:rFonts w:hint="eastAsia" w:ascii="宋体" w:hAnsi="宋体" w:cs="宋体"/>
                <w:b/>
                <w:szCs w:val="21"/>
              </w:rPr>
            </w:pPr>
          </w:p>
        </w:tc>
        <w:tc>
          <w:tcPr>
            <w:tcW w:w="2331" w:type="dxa"/>
            <w:vAlign w:val="center"/>
          </w:tcPr>
          <w:p w14:paraId="0A9244F1">
            <w:pPr>
              <w:spacing w:line="360" w:lineRule="auto"/>
              <w:ind w:right="840"/>
              <w:jc w:val="center"/>
              <w:rPr>
                <w:rFonts w:hint="eastAsia" w:ascii="宋体" w:hAnsi="宋体" w:cs="宋体"/>
                <w:b/>
                <w:szCs w:val="21"/>
              </w:rPr>
            </w:pPr>
          </w:p>
        </w:tc>
        <w:tc>
          <w:tcPr>
            <w:tcW w:w="1306" w:type="dxa"/>
            <w:vAlign w:val="center"/>
          </w:tcPr>
          <w:p w14:paraId="286B7571">
            <w:pPr>
              <w:spacing w:line="360" w:lineRule="auto"/>
              <w:ind w:right="840"/>
              <w:jc w:val="center"/>
              <w:rPr>
                <w:rFonts w:hint="eastAsia" w:ascii="宋体" w:hAnsi="宋体" w:cs="宋体"/>
                <w:b/>
                <w:szCs w:val="21"/>
              </w:rPr>
            </w:pPr>
          </w:p>
        </w:tc>
      </w:tr>
      <w:tr w14:paraId="6227F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670" w:type="dxa"/>
            <w:vAlign w:val="center"/>
          </w:tcPr>
          <w:p w14:paraId="3D79211D">
            <w:pPr>
              <w:spacing w:line="360" w:lineRule="auto"/>
              <w:ind w:right="-144"/>
              <w:jc w:val="center"/>
              <w:rPr>
                <w:rFonts w:hint="eastAsia" w:ascii="宋体" w:hAnsi="宋体" w:cs="宋体"/>
                <w:b/>
                <w:szCs w:val="21"/>
              </w:rPr>
            </w:pPr>
          </w:p>
        </w:tc>
        <w:tc>
          <w:tcPr>
            <w:tcW w:w="2052" w:type="dxa"/>
            <w:vAlign w:val="center"/>
          </w:tcPr>
          <w:p w14:paraId="6AF8228F">
            <w:pPr>
              <w:spacing w:line="360" w:lineRule="auto"/>
              <w:ind w:right="-144"/>
              <w:jc w:val="center"/>
              <w:rPr>
                <w:rFonts w:hint="eastAsia" w:ascii="宋体" w:hAnsi="宋体" w:cs="宋体"/>
                <w:b/>
                <w:szCs w:val="21"/>
              </w:rPr>
            </w:pPr>
            <w:r>
              <w:rPr>
                <w:rFonts w:hint="eastAsia" w:ascii="宋体" w:hAnsi="宋体" w:cs="宋体"/>
                <w:b/>
                <w:szCs w:val="21"/>
              </w:rPr>
              <w:t>其他</w:t>
            </w:r>
          </w:p>
        </w:tc>
        <w:tc>
          <w:tcPr>
            <w:tcW w:w="1678" w:type="dxa"/>
            <w:vAlign w:val="center"/>
          </w:tcPr>
          <w:p w14:paraId="4C52BDA9">
            <w:pPr>
              <w:spacing w:line="360" w:lineRule="auto"/>
              <w:ind w:right="840"/>
              <w:jc w:val="center"/>
              <w:rPr>
                <w:rFonts w:hint="eastAsia" w:ascii="宋体" w:hAnsi="宋体" w:cs="宋体"/>
                <w:b/>
                <w:szCs w:val="21"/>
              </w:rPr>
            </w:pPr>
          </w:p>
        </w:tc>
        <w:tc>
          <w:tcPr>
            <w:tcW w:w="1587" w:type="dxa"/>
            <w:vAlign w:val="center"/>
          </w:tcPr>
          <w:p w14:paraId="1D42E406">
            <w:pPr>
              <w:spacing w:line="360" w:lineRule="auto"/>
              <w:ind w:right="-17"/>
              <w:jc w:val="center"/>
              <w:rPr>
                <w:rFonts w:hint="eastAsia" w:ascii="宋体" w:hAnsi="宋体" w:cs="宋体"/>
                <w:b/>
                <w:szCs w:val="21"/>
              </w:rPr>
            </w:pPr>
            <w:r>
              <w:rPr>
                <w:rFonts w:hint="eastAsia" w:ascii="宋体" w:hAnsi="宋体" w:cs="宋体"/>
                <w:b/>
                <w:szCs w:val="21"/>
              </w:rPr>
              <w:t>合计：  人</w:t>
            </w:r>
          </w:p>
        </w:tc>
        <w:tc>
          <w:tcPr>
            <w:tcW w:w="2331" w:type="dxa"/>
            <w:vAlign w:val="center"/>
          </w:tcPr>
          <w:p w14:paraId="2A3275AD">
            <w:pPr>
              <w:spacing w:line="360" w:lineRule="auto"/>
              <w:ind w:right="840"/>
              <w:jc w:val="center"/>
              <w:rPr>
                <w:rFonts w:hint="eastAsia" w:ascii="宋体" w:hAnsi="宋体" w:cs="宋体"/>
                <w:b/>
                <w:szCs w:val="21"/>
              </w:rPr>
            </w:pPr>
          </w:p>
        </w:tc>
        <w:tc>
          <w:tcPr>
            <w:tcW w:w="1306" w:type="dxa"/>
            <w:vAlign w:val="center"/>
          </w:tcPr>
          <w:p w14:paraId="6CD929DD">
            <w:pPr>
              <w:spacing w:line="360" w:lineRule="auto"/>
              <w:ind w:right="840"/>
              <w:jc w:val="center"/>
              <w:rPr>
                <w:rFonts w:hint="eastAsia" w:ascii="宋体" w:hAnsi="宋体" w:cs="宋体"/>
                <w:b/>
                <w:szCs w:val="21"/>
              </w:rPr>
            </w:pPr>
          </w:p>
        </w:tc>
      </w:tr>
    </w:tbl>
    <w:p w14:paraId="31322594">
      <w:pPr>
        <w:spacing w:line="360" w:lineRule="auto"/>
        <w:rPr>
          <w:rFonts w:hint="eastAsia" w:ascii="宋体" w:hAnsi="宋体" w:cs="宋体"/>
          <w:szCs w:val="21"/>
        </w:rPr>
      </w:pPr>
      <w:r>
        <w:rPr>
          <w:rFonts w:hint="eastAsia" w:ascii="宋体" w:hAnsi="宋体" w:cs="宋体"/>
          <w:szCs w:val="21"/>
        </w:rPr>
        <w:t>注：1、以上仅提供了表格形式，供应商可按此表格复制。</w:t>
      </w:r>
    </w:p>
    <w:p w14:paraId="6BD87156">
      <w:pPr>
        <w:spacing w:line="360" w:lineRule="auto"/>
        <w:rPr>
          <w:rFonts w:hint="eastAsia" w:ascii="宋体" w:hAnsi="宋体" w:cs="宋体"/>
          <w:szCs w:val="21"/>
        </w:rPr>
      </w:pPr>
      <w:r>
        <w:rPr>
          <w:rFonts w:hint="eastAsia" w:ascii="宋体" w:hAnsi="宋体" w:cs="宋体"/>
          <w:szCs w:val="21"/>
        </w:rPr>
        <w:t>2、明确各岗位人员配置情况。</w:t>
      </w:r>
    </w:p>
    <w:p w14:paraId="6980D086">
      <w:pPr>
        <w:adjustRightInd w:val="0"/>
        <w:snapToGrid w:val="0"/>
        <w:spacing w:line="360" w:lineRule="auto"/>
        <w:ind w:firstLine="420" w:firstLineChars="200"/>
        <w:rPr>
          <w:rFonts w:hint="eastAsia" w:ascii="宋体" w:hAnsi="宋体" w:cs="宋体"/>
        </w:rPr>
      </w:pPr>
    </w:p>
    <w:p w14:paraId="0DCC8E42">
      <w:pPr>
        <w:adjustRightInd w:val="0"/>
        <w:snapToGrid w:val="0"/>
        <w:spacing w:line="360" w:lineRule="auto"/>
        <w:ind w:firstLine="420" w:firstLineChars="200"/>
        <w:rPr>
          <w:rFonts w:hint="eastAsia" w:ascii="宋体" w:hAnsi="宋体" w:cs="宋体"/>
        </w:rPr>
      </w:pPr>
    </w:p>
    <w:p w14:paraId="7B7A2AD4">
      <w:pPr>
        <w:adjustRightInd w:val="0"/>
        <w:snapToGrid w:val="0"/>
        <w:spacing w:line="360" w:lineRule="auto"/>
        <w:ind w:firstLine="420" w:firstLineChars="200"/>
        <w:rPr>
          <w:rFonts w:hint="eastAsia" w:ascii="宋体" w:hAnsi="宋体" w:cs="宋体"/>
        </w:rPr>
      </w:pPr>
      <w:r>
        <w:rPr>
          <w:rFonts w:hint="eastAsia" w:ascii="宋体" w:hAnsi="宋体" w:cs="宋体"/>
        </w:rPr>
        <w:t xml:space="preserve">供应商全称（电子印章）：   </w:t>
      </w:r>
    </w:p>
    <w:p w14:paraId="18C9F157">
      <w:pPr>
        <w:adjustRightInd w:val="0"/>
        <w:snapToGrid w:val="0"/>
        <w:spacing w:line="360" w:lineRule="auto"/>
        <w:ind w:firstLine="420" w:firstLineChars="200"/>
        <w:rPr>
          <w:rFonts w:hint="eastAsia" w:ascii="宋体" w:hAnsi="宋体" w:cs="宋体"/>
        </w:rPr>
      </w:pPr>
      <w:r>
        <w:rPr>
          <w:rFonts w:hint="eastAsia" w:ascii="宋体" w:hAnsi="宋体" w:cs="宋体"/>
        </w:rPr>
        <w:t>日期：</w:t>
      </w:r>
    </w:p>
    <w:p w14:paraId="163C66DB">
      <w:pPr>
        <w:adjustRightInd w:val="0"/>
        <w:snapToGrid w:val="0"/>
        <w:spacing w:line="360" w:lineRule="auto"/>
        <w:rPr>
          <w:rFonts w:hint="eastAsia" w:ascii="宋体" w:hAnsi="宋体" w:cs="宋体"/>
        </w:rPr>
      </w:pPr>
    </w:p>
    <w:p w14:paraId="2642A7A4">
      <w:pPr>
        <w:pStyle w:val="19"/>
        <w:rPr>
          <w:rFonts w:hint="eastAsia" w:ascii="宋体" w:hAnsi="宋体" w:cs="宋体"/>
        </w:rPr>
      </w:pPr>
    </w:p>
    <w:bookmarkEnd w:id="109"/>
    <w:p w14:paraId="66260E60">
      <w:pPr>
        <w:pStyle w:val="4"/>
        <w:ind w:firstLine="0" w:firstLineChars="0"/>
        <w:rPr>
          <w:rFonts w:hint="eastAsia" w:ascii="宋体" w:hAnsi="宋体" w:cs="宋体"/>
        </w:rPr>
      </w:pPr>
      <w:bookmarkStart w:id="117" w:name="_Toc15115"/>
      <w:bookmarkStart w:id="118" w:name="_Toc32180"/>
      <w:bookmarkStart w:id="119" w:name="_Toc23015"/>
      <w:r>
        <w:rPr>
          <w:rFonts w:hint="eastAsia" w:ascii="宋体" w:hAnsi="宋体" w:cs="宋体"/>
          <w:szCs w:val="21"/>
        </w:rPr>
        <w:t>十、技术</w:t>
      </w:r>
      <w:r>
        <w:rPr>
          <w:rFonts w:hint="eastAsia" w:ascii="宋体" w:hAnsi="宋体" w:cs="宋体"/>
        </w:rPr>
        <w:t>部分组成</w:t>
      </w:r>
      <w:bookmarkEnd w:id="117"/>
      <w:r>
        <w:rPr>
          <w:rFonts w:hint="eastAsia" w:ascii="宋体" w:hAnsi="宋体" w:cs="宋体"/>
          <w:b w:val="0"/>
          <w:bCs w:val="0"/>
          <w:szCs w:val="21"/>
        </w:rPr>
        <w:t>（</w:t>
      </w:r>
      <w:r>
        <w:rPr>
          <w:rFonts w:hint="eastAsia" w:ascii="宋体" w:hAnsi="宋体" w:cs="宋体"/>
          <w:b w:val="0"/>
          <w:bCs w:val="0"/>
        </w:rPr>
        <w:t>具体结合“采购内容及技术要求”及“评审办法”中的要求提供）</w:t>
      </w:r>
      <w:bookmarkEnd w:id="118"/>
      <w:bookmarkEnd w:id="119"/>
    </w:p>
    <w:p w14:paraId="5D0263DF">
      <w:pPr>
        <w:adjustRightInd w:val="0"/>
        <w:snapToGrid w:val="0"/>
        <w:spacing w:line="360" w:lineRule="auto"/>
        <w:ind w:firstLine="420" w:firstLineChars="200"/>
        <w:rPr>
          <w:rFonts w:hint="eastAsia" w:ascii="宋体" w:hAnsi="宋体" w:cs="宋体"/>
          <w:szCs w:val="21"/>
        </w:rPr>
      </w:pPr>
    </w:p>
    <w:p w14:paraId="3FBE4A89">
      <w:pPr>
        <w:adjustRightInd w:val="0"/>
        <w:snapToGrid w:val="0"/>
        <w:spacing w:line="360" w:lineRule="auto"/>
        <w:ind w:firstLine="420" w:firstLineChars="200"/>
        <w:rPr>
          <w:rFonts w:hint="eastAsia" w:ascii="宋体" w:hAnsi="宋体" w:cs="宋体"/>
          <w:szCs w:val="21"/>
        </w:rPr>
      </w:pPr>
      <w:bookmarkStart w:id="120" w:name="_Toc23596"/>
      <w:bookmarkStart w:id="121" w:name="_Toc16650"/>
    </w:p>
    <w:p w14:paraId="023E5286">
      <w:pPr>
        <w:adjustRightInd w:val="0"/>
        <w:snapToGrid w:val="0"/>
        <w:spacing w:line="360" w:lineRule="auto"/>
        <w:rPr>
          <w:rFonts w:hint="eastAsia" w:ascii="宋体" w:hAnsi="宋体" w:cs="宋体"/>
        </w:rPr>
      </w:pPr>
    </w:p>
    <w:p w14:paraId="2BF08F9C"/>
    <w:p w14:paraId="46C21E9A">
      <w:pPr>
        <w:rPr>
          <w:rFonts w:hint="eastAsia" w:ascii="宋体" w:hAnsi="宋体" w:cs="宋体"/>
          <w:szCs w:val="21"/>
        </w:rPr>
      </w:pPr>
    </w:p>
    <w:p w14:paraId="201CDD01">
      <w:pPr>
        <w:pStyle w:val="19"/>
        <w:rPr>
          <w:rFonts w:hint="eastAsia" w:ascii="宋体" w:hAnsi="宋体" w:cs="宋体"/>
          <w:szCs w:val="21"/>
        </w:rPr>
      </w:pPr>
    </w:p>
    <w:p w14:paraId="0E5727CA">
      <w:pPr>
        <w:rPr>
          <w:rFonts w:hint="eastAsia" w:ascii="宋体" w:hAnsi="宋体" w:cs="宋体"/>
          <w:szCs w:val="21"/>
        </w:rPr>
      </w:pPr>
    </w:p>
    <w:p w14:paraId="409E1B3E">
      <w:pPr>
        <w:pStyle w:val="19"/>
        <w:rPr>
          <w:rFonts w:hint="eastAsia" w:ascii="宋体" w:hAnsi="宋体" w:cs="宋体"/>
          <w:szCs w:val="21"/>
        </w:rPr>
      </w:pPr>
    </w:p>
    <w:p w14:paraId="0C87EF78">
      <w:pPr>
        <w:rPr>
          <w:rFonts w:hint="eastAsia" w:ascii="宋体" w:hAnsi="宋体" w:cs="宋体"/>
          <w:szCs w:val="21"/>
        </w:rPr>
      </w:pPr>
    </w:p>
    <w:p w14:paraId="55FA8F2E">
      <w:pPr>
        <w:pStyle w:val="19"/>
        <w:rPr>
          <w:rFonts w:hint="eastAsia" w:ascii="宋体" w:hAnsi="宋体" w:cs="宋体"/>
          <w:szCs w:val="21"/>
        </w:rPr>
      </w:pPr>
    </w:p>
    <w:p w14:paraId="0853C795"/>
    <w:p w14:paraId="111C59E0">
      <w:pPr>
        <w:rPr>
          <w:rFonts w:hint="eastAsia" w:ascii="宋体" w:hAnsi="宋体" w:cs="宋体"/>
          <w:szCs w:val="21"/>
        </w:rPr>
      </w:pPr>
    </w:p>
    <w:p w14:paraId="07B0A971">
      <w:pPr>
        <w:adjustRightInd w:val="0"/>
        <w:snapToGrid w:val="0"/>
        <w:spacing w:line="360" w:lineRule="auto"/>
        <w:rPr>
          <w:rFonts w:ascii="Arial" w:hAnsi="Arial" w:cs="Arial"/>
          <w:u w:val="single"/>
        </w:rPr>
      </w:pPr>
    </w:p>
    <w:p w14:paraId="1F60F6F8">
      <w:r>
        <w:rPr>
          <w:rFonts w:hAnsi="宋体" w:cs="Arial"/>
          <w:kern w:val="0"/>
        </w:rPr>
        <w:br w:type="page"/>
      </w:r>
    </w:p>
    <w:p w14:paraId="65EF544B">
      <w:pPr>
        <w:pStyle w:val="4"/>
        <w:ind w:firstLine="0" w:firstLineChars="0"/>
        <w:rPr>
          <w:rFonts w:hint="eastAsia" w:ascii="宋体" w:hAnsi="宋体" w:cs="宋体"/>
        </w:rPr>
      </w:pPr>
      <w:bookmarkStart w:id="122" w:name="_Toc12473"/>
      <w:bookmarkStart w:id="123" w:name="_Toc26654"/>
      <w:bookmarkStart w:id="124" w:name="_Toc28239"/>
      <w:r>
        <w:rPr>
          <w:rFonts w:hint="eastAsia" w:ascii="宋体" w:hAnsi="宋体" w:cs="宋体"/>
          <w:szCs w:val="21"/>
        </w:rPr>
        <w:t>十一、供应商认为需要提供的其他资料</w:t>
      </w:r>
      <w:bookmarkEnd w:id="122"/>
      <w:bookmarkEnd w:id="123"/>
      <w:bookmarkEnd w:id="124"/>
    </w:p>
    <w:bookmarkEnd w:id="120"/>
    <w:bookmarkEnd w:id="121"/>
    <w:p w14:paraId="2981B709">
      <w:pPr>
        <w:autoSpaceDE w:val="0"/>
        <w:autoSpaceDN w:val="0"/>
        <w:adjustRightInd w:val="0"/>
        <w:snapToGrid w:val="0"/>
        <w:spacing w:line="360" w:lineRule="auto"/>
        <w:textAlignment w:val="bottom"/>
        <w:rPr>
          <w:rFonts w:hint="eastAsia" w:ascii="宋体" w:hAnsi="宋体" w:cs="宋体"/>
        </w:rPr>
      </w:pPr>
      <w:r>
        <w:rPr>
          <w:rFonts w:hint="eastAsia" w:ascii="宋体" w:hAnsi="宋体" w:cs="宋体"/>
        </w:rPr>
        <w:t xml:space="preserve"> </w:t>
      </w:r>
    </w:p>
    <w:p w14:paraId="70579C6C">
      <w:pPr>
        <w:autoSpaceDE w:val="0"/>
        <w:autoSpaceDN w:val="0"/>
        <w:adjustRightInd w:val="0"/>
        <w:snapToGrid w:val="0"/>
        <w:spacing w:line="360" w:lineRule="auto"/>
        <w:ind w:firstLine="420" w:firstLineChars="200"/>
        <w:textAlignment w:val="bottom"/>
        <w:rPr>
          <w:rFonts w:hint="eastAsia" w:ascii="宋体" w:hAnsi="宋体" w:cs="宋体"/>
        </w:rPr>
      </w:pPr>
      <w:r>
        <w:rPr>
          <w:rFonts w:hint="eastAsia" w:ascii="宋体" w:hAnsi="宋体" w:cs="宋体"/>
        </w:rPr>
        <w:t xml:space="preserve"> </w:t>
      </w:r>
    </w:p>
    <w:p w14:paraId="6C18D85D"/>
    <w:sectPr>
      <w:pgSz w:w="11906" w:h="16838"/>
      <w:pgMar w:top="1247" w:right="1247" w:bottom="1247" w:left="1247" w:header="720" w:footer="720" w:gutter="0"/>
      <w:cols w:space="720" w:num="1"/>
      <w:titlePg/>
      <w:docGrid w:linePitch="286" w:charSpace="-38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楷体">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MS UI Gothic">
    <w:panose1 w:val="020B0600070205080204"/>
    <w:charset w:val="80"/>
    <w:family w:val="swiss"/>
    <w:pitch w:val="default"/>
    <w:sig w:usb0="E00002FF" w:usb1="6AC7FDFB" w:usb2="08000012" w:usb3="00000000" w:csb0="4002009F" w:csb1="DFD7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Century Gothic">
    <w:panose1 w:val="020B0502020202020204"/>
    <w:charset w:val="00"/>
    <w:family w:val="swiss"/>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2DAE5">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7B2C1">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0E0D2">
    <w:pPr>
      <w:pStyle w:val="2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41C062">
                          <w:pPr>
                            <w:pStyle w:val="2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3141C062">
                    <w:pPr>
                      <w:pStyle w:val="2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F2951">
    <w:pPr>
      <w:pStyle w:val="2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2339FD">
                          <w:pPr>
                            <w:pStyle w:val="2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172339FD">
                    <w:pPr>
                      <w:pStyle w:val="2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4D8E0A"/>
    <w:multiLevelType w:val="multilevel"/>
    <w:tmpl w:val="B04D8E0A"/>
    <w:lvl w:ilvl="0" w:tentative="0">
      <w:start w:val="1"/>
      <w:numFmt w:val="chineseCounting"/>
      <w:suff w:val="nothing"/>
      <w:lvlText w:val="第%1章 "/>
      <w:lvlJc w:val="left"/>
      <w:pPr>
        <w:tabs>
          <w:tab w:val="left" w:pos="0"/>
        </w:tabs>
        <w:ind w:left="0" w:firstLine="0"/>
      </w:pPr>
      <w:rPr>
        <w:rFonts w:hint="eastAsia" w:ascii="宋体" w:hAnsi="宋体" w:eastAsia="宋体"/>
      </w:rPr>
    </w:lvl>
    <w:lvl w:ilvl="1" w:tentative="0">
      <w:start w:val="1"/>
      <w:numFmt w:val="chineseCounting"/>
      <w:suff w:val="nothing"/>
      <w:lvlText w:val="%2、"/>
      <w:lvlJc w:val="left"/>
      <w:pPr>
        <w:ind w:left="0" w:firstLine="0"/>
      </w:pPr>
      <w:rPr>
        <w:rFonts w:hint="eastAsia" w:ascii="宋体" w:hAnsi="宋体" w:eastAsia="宋体"/>
      </w:rPr>
    </w:lvl>
    <w:lvl w:ilvl="2" w:tentative="0">
      <w:start w:val="1"/>
      <w:numFmt w:val="chineseCounting"/>
      <w:pStyle w:val="159"/>
      <w:suff w:val="nothing"/>
      <w:lvlText w:val="(%3)"/>
      <w:lvlJc w:val="left"/>
      <w:pPr>
        <w:tabs>
          <w:tab w:val="left" w:pos="0"/>
        </w:tabs>
        <w:ind w:left="0" w:firstLine="0"/>
      </w:pPr>
      <w:rPr>
        <w:rFonts w:hint="eastAsia" w:ascii="宋体" w:hAnsi="宋体" w:eastAsia="宋体"/>
      </w:rPr>
    </w:lvl>
    <w:lvl w:ilvl="3" w:tentative="0">
      <w:start w:val="1"/>
      <w:numFmt w:val="decimal"/>
      <w:pStyle w:val="127"/>
      <w:suff w:val="nothing"/>
      <w:lvlText w:val="%4."/>
      <w:lvlJc w:val="left"/>
      <w:pPr>
        <w:tabs>
          <w:tab w:val="left" w:pos="0"/>
        </w:tabs>
        <w:ind w:left="0" w:firstLine="0"/>
      </w:pPr>
      <w:rPr>
        <w:rFonts w:hint="eastAsia" w:ascii="宋体" w:hAnsi="宋体" w:eastAsia="宋体"/>
      </w:rPr>
    </w:lvl>
    <w:lvl w:ilvl="4" w:tentative="0">
      <w:start w:val="1"/>
      <w:numFmt w:val="decimal"/>
      <w:suff w:val="nothing"/>
      <w:lvlText w:val="%4.%5"/>
      <w:lvlJc w:val="left"/>
      <w:pPr>
        <w:ind w:left="0" w:firstLine="0"/>
      </w:pPr>
      <w:rPr>
        <w:rFonts w:hint="eastAsia" w:ascii="宋体" w:hAnsi="宋体" w:eastAsia="宋体"/>
      </w:rPr>
    </w:lvl>
    <w:lvl w:ilvl="5" w:tentative="0">
      <w:start w:val="1"/>
      <w:numFmt w:val="decimal"/>
      <w:suff w:val="nothing"/>
      <w:lvlText w:val="(%6)"/>
      <w:lvlJc w:val="left"/>
      <w:pPr>
        <w:ind w:left="0" w:firstLine="0"/>
      </w:pPr>
      <w:rPr>
        <w:rFonts w:hint="eastAsia" w:ascii="宋体" w:hAnsi="宋体" w:eastAsia="宋体"/>
      </w:rPr>
    </w:lvl>
    <w:lvl w:ilvl="6" w:tentative="0">
      <w:start w:val="1"/>
      <w:numFmt w:val="lowerLetter"/>
      <w:suff w:val="nothing"/>
      <w:lvlText w:val="%7．"/>
      <w:lvlJc w:val="left"/>
      <w:pPr>
        <w:ind w:left="0" w:firstLine="402"/>
      </w:pPr>
      <w:rPr>
        <w:rFonts w:hint="default"/>
      </w:rPr>
    </w:lvl>
    <w:lvl w:ilvl="7" w:tentative="0">
      <w:start w:val="1"/>
      <w:numFmt w:val="lowerLetter"/>
      <w:suff w:val="nothing"/>
      <w:lvlText w:val="%8）"/>
      <w:lvlJc w:val="left"/>
      <w:pPr>
        <w:ind w:left="0" w:firstLine="402"/>
      </w:pPr>
      <w:rPr>
        <w:rFonts w:hint="default"/>
      </w:rPr>
    </w:lvl>
    <w:lvl w:ilvl="8" w:tentative="0">
      <w:start w:val="1"/>
      <w:numFmt w:val="lowerRoman"/>
      <w:suff w:val="nothing"/>
      <w:lvlText w:val="%9. "/>
      <w:lvlJc w:val="left"/>
      <w:pPr>
        <w:ind w:left="0" w:firstLine="402"/>
      </w:pPr>
      <w:rPr>
        <w:rFonts w:hint="default"/>
      </w:rPr>
    </w:lvl>
  </w:abstractNum>
  <w:abstractNum w:abstractNumId="1">
    <w:nsid w:val="0000001F"/>
    <w:multiLevelType w:val="multilevel"/>
    <w:tmpl w:val="0000001F"/>
    <w:lvl w:ilvl="0" w:tentative="0">
      <w:start w:val="1"/>
      <w:numFmt w:val="decimal"/>
      <w:pStyle w:val="131"/>
      <w:lvlText w:val="%1） "/>
      <w:lvlJc w:val="left"/>
      <w:pPr>
        <w:tabs>
          <w:tab w:val="left" w:pos="454"/>
        </w:tabs>
        <w:ind w:left="0" w:firstLine="420"/>
      </w:pPr>
      <w:rPr>
        <w:rFonts w:hint="eastAsia"/>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2">
    <w:nsid w:val="0DAAC00A"/>
    <w:multiLevelType w:val="singleLevel"/>
    <w:tmpl w:val="0DAAC00A"/>
    <w:lvl w:ilvl="0" w:tentative="0">
      <w:start w:val="1"/>
      <w:numFmt w:val="decimal"/>
      <w:suff w:val="nothing"/>
      <w:lvlText w:val="（%1）"/>
      <w:lvlJc w:val="left"/>
    </w:lvl>
  </w:abstractNum>
  <w:abstractNum w:abstractNumId="3">
    <w:nsid w:val="47B127DD"/>
    <w:multiLevelType w:val="multilevel"/>
    <w:tmpl w:val="47B127DD"/>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56FB6A99"/>
    <w:multiLevelType w:val="multilevel"/>
    <w:tmpl w:val="56FB6A99"/>
    <w:lvl w:ilvl="0" w:tentative="0">
      <w:start w:val="1"/>
      <w:numFmt w:val="decimal"/>
      <w:lvlText w:val="（%1）"/>
      <w:lvlJc w:val="left"/>
      <w:pPr>
        <w:tabs>
          <w:tab w:val="left" w:pos="847"/>
        </w:tabs>
        <w:ind w:left="847" w:hanging="393"/>
      </w:pPr>
      <w:rPr>
        <w:rFonts w:ascii="Times New Roman" w:hAnsi="Times New Roman" w:eastAsia="Times New Roman" w:cs="Times New Roman"/>
        <w:b w:val="0"/>
        <w:i w:val="0"/>
        <w:sz w:val="21"/>
        <w:szCs w:val="21"/>
      </w:rPr>
    </w:lvl>
    <w:lvl w:ilvl="1" w:tentative="0">
      <w:start w:val="1"/>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750113E3"/>
    <w:multiLevelType w:val="singleLevel"/>
    <w:tmpl w:val="750113E3"/>
    <w:lvl w:ilvl="0" w:tentative="0">
      <w:start w:val="1"/>
      <w:numFmt w:val="decimal"/>
      <w:suff w:val="nothing"/>
      <w:lvlText w:val="（%1）"/>
      <w:lvlJc w:val="left"/>
    </w:lvl>
  </w:abstractNum>
  <w:num w:numId="1">
    <w:abstractNumId w:val="0"/>
  </w:num>
  <w:num w:numId="2">
    <w:abstractNumId w:val="1"/>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91"/>
  <w:drawingGridVerticalSpacing w:val="143"/>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xZDljZmYwMmJjZDRmY2VmNDc0ZGVkMzJhZWY1NjYifQ=="/>
  </w:docVars>
  <w:rsids>
    <w:rsidRoot w:val="008F32E1"/>
    <w:rsid w:val="000032ED"/>
    <w:rsid w:val="00007F91"/>
    <w:rsid w:val="000101F9"/>
    <w:rsid w:val="00010C6D"/>
    <w:rsid w:val="00012E86"/>
    <w:rsid w:val="00016D79"/>
    <w:rsid w:val="00022F82"/>
    <w:rsid w:val="00024411"/>
    <w:rsid w:val="00027C1F"/>
    <w:rsid w:val="00030740"/>
    <w:rsid w:val="000335FC"/>
    <w:rsid w:val="000370AB"/>
    <w:rsid w:val="00042D50"/>
    <w:rsid w:val="00050C55"/>
    <w:rsid w:val="0005235D"/>
    <w:rsid w:val="000535C3"/>
    <w:rsid w:val="00056863"/>
    <w:rsid w:val="000713BE"/>
    <w:rsid w:val="00071F3F"/>
    <w:rsid w:val="00073EA9"/>
    <w:rsid w:val="0007491B"/>
    <w:rsid w:val="00074FAB"/>
    <w:rsid w:val="00086377"/>
    <w:rsid w:val="00093040"/>
    <w:rsid w:val="00093C2F"/>
    <w:rsid w:val="00093C72"/>
    <w:rsid w:val="000950DD"/>
    <w:rsid w:val="000A2E7D"/>
    <w:rsid w:val="000A71F2"/>
    <w:rsid w:val="000B3554"/>
    <w:rsid w:val="000B5067"/>
    <w:rsid w:val="000C624C"/>
    <w:rsid w:val="000D3262"/>
    <w:rsid w:val="000E65F2"/>
    <w:rsid w:val="000F06CE"/>
    <w:rsid w:val="000F2C32"/>
    <w:rsid w:val="000F7279"/>
    <w:rsid w:val="001017C3"/>
    <w:rsid w:val="0010298A"/>
    <w:rsid w:val="00107BE2"/>
    <w:rsid w:val="00117D3F"/>
    <w:rsid w:val="0012141D"/>
    <w:rsid w:val="00123B9E"/>
    <w:rsid w:val="00125E42"/>
    <w:rsid w:val="0013665E"/>
    <w:rsid w:val="0014152D"/>
    <w:rsid w:val="001438A5"/>
    <w:rsid w:val="00145508"/>
    <w:rsid w:val="00147C49"/>
    <w:rsid w:val="00147CE9"/>
    <w:rsid w:val="00151665"/>
    <w:rsid w:val="0015437C"/>
    <w:rsid w:val="001564F4"/>
    <w:rsid w:val="00160F1B"/>
    <w:rsid w:val="00170316"/>
    <w:rsid w:val="00171118"/>
    <w:rsid w:val="001766A7"/>
    <w:rsid w:val="00176E6F"/>
    <w:rsid w:val="0018231E"/>
    <w:rsid w:val="0018427E"/>
    <w:rsid w:val="00186897"/>
    <w:rsid w:val="00186A74"/>
    <w:rsid w:val="00186AE0"/>
    <w:rsid w:val="00190E34"/>
    <w:rsid w:val="00192E1C"/>
    <w:rsid w:val="00194579"/>
    <w:rsid w:val="001A0331"/>
    <w:rsid w:val="001A0484"/>
    <w:rsid w:val="001A2865"/>
    <w:rsid w:val="001A3811"/>
    <w:rsid w:val="001A4096"/>
    <w:rsid w:val="001B12D1"/>
    <w:rsid w:val="001B1D59"/>
    <w:rsid w:val="001B2B01"/>
    <w:rsid w:val="001B46DA"/>
    <w:rsid w:val="001C32E4"/>
    <w:rsid w:val="001C34E4"/>
    <w:rsid w:val="001D5350"/>
    <w:rsid w:val="001D56DE"/>
    <w:rsid w:val="001D7042"/>
    <w:rsid w:val="001E04C1"/>
    <w:rsid w:val="001E0939"/>
    <w:rsid w:val="001F194A"/>
    <w:rsid w:val="001F47E8"/>
    <w:rsid w:val="001F5553"/>
    <w:rsid w:val="00204B95"/>
    <w:rsid w:val="002055AB"/>
    <w:rsid w:val="00214977"/>
    <w:rsid w:val="00215631"/>
    <w:rsid w:val="00225133"/>
    <w:rsid w:val="002308B2"/>
    <w:rsid w:val="00231258"/>
    <w:rsid w:val="00241C5C"/>
    <w:rsid w:val="0024255E"/>
    <w:rsid w:val="0024311B"/>
    <w:rsid w:val="00250801"/>
    <w:rsid w:val="00255E76"/>
    <w:rsid w:val="00257EC5"/>
    <w:rsid w:val="002607F1"/>
    <w:rsid w:val="002755BB"/>
    <w:rsid w:val="00275A17"/>
    <w:rsid w:val="00275C22"/>
    <w:rsid w:val="002802D8"/>
    <w:rsid w:val="00280A58"/>
    <w:rsid w:val="00280A94"/>
    <w:rsid w:val="0028318F"/>
    <w:rsid w:val="00286A0F"/>
    <w:rsid w:val="002874AB"/>
    <w:rsid w:val="00293E74"/>
    <w:rsid w:val="00294FF8"/>
    <w:rsid w:val="002A06A4"/>
    <w:rsid w:val="002A3669"/>
    <w:rsid w:val="002A476A"/>
    <w:rsid w:val="002A506C"/>
    <w:rsid w:val="002A6EC6"/>
    <w:rsid w:val="002B1BD1"/>
    <w:rsid w:val="002B47B6"/>
    <w:rsid w:val="002B4C8B"/>
    <w:rsid w:val="002C04DB"/>
    <w:rsid w:val="002C1134"/>
    <w:rsid w:val="002C14ED"/>
    <w:rsid w:val="002C1BA6"/>
    <w:rsid w:val="002C381E"/>
    <w:rsid w:val="002C5B15"/>
    <w:rsid w:val="002C5CAC"/>
    <w:rsid w:val="002C6C75"/>
    <w:rsid w:val="002D0636"/>
    <w:rsid w:val="002D4454"/>
    <w:rsid w:val="002E009B"/>
    <w:rsid w:val="002E0F52"/>
    <w:rsid w:val="002E3624"/>
    <w:rsid w:val="002E4353"/>
    <w:rsid w:val="002E5F53"/>
    <w:rsid w:val="002E7924"/>
    <w:rsid w:val="002F07CB"/>
    <w:rsid w:val="002F0DA8"/>
    <w:rsid w:val="002F6E28"/>
    <w:rsid w:val="003021D3"/>
    <w:rsid w:val="003023E3"/>
    <w:rsid w:val="00303138"/>
    <w:rsid w:val="00304106"/>
    <w:rsid w:val="003048E7"/>
    <w:rsid w:val="003054AE"/>
    <w:rsid w:val="0030756D"/>
    <w:rsid w:val="00313921"/>
    <w:rsid w:val="00316255"/>
    <w:rsid w:val="00323867"/>
    <w:rsid w:val="003241E2"/>
    <w:rsid w:val="00325849"/>
    <w:rsid w:val="00325E9D"/>
    <w:rsid w:val="003311AC"/>
    <w:rsid w:val="00331EF7"/>
    <w:rsid w:val="003352E7"/>
    <w:rsid w:val="00335F51"/>
    <w:rsid w:val="003462D4"/>
    <w:rsid w:val="00360279"/>
    <w:rsid w:val="00361684"/>
    <w:rsid w:val="00364F43"/>
    <w:rsid w:val="003655AC"/>
    <w:rsid w:val="0036667E"/>
    <w:rsid w:val="00366702"/>
    <w:rsid w:val="0036702B"/>
    <w:rsid w:val="00367C2A"/>
    <w:rsid w:val="00380226"/>
    <w:rsid w:val="00382592"/>
    <w:rsid w:val="0038414D"/>
    <w:rsid w:val="00384F7C"/>
    <w:rsid w:val="00387021"/>
    <w:rsid w:val="003920CB"/>
    <w:rsid w:val="003922D9"/>
    <w:rsid w:val="0039657F"/>
    <w:rsid w:val="003A1246"/>
    <w:rsid w:val="003A1991"/>
    <w:rsid w:val="003A33C3"/>
    <w:rsid w:val="003B4917"/>
    <w:rsid w:val="003B4DDD"/>
    <w:rsid w:val="003C2550"/>
    <w:rsid w:val="003C2A1E"/>
    <w:rsid w:val="003C524A"/>
    <w:rsid w:val="003C59D0"/>
    <w:rsid w:val="003C7CEC"/>
    <w:rsid w:val="003C7E66"/>
    <w:rsid w:val="003D3554"/>
    <w:rsid w:val="003D3CD6"/>
    <w:rsid w:val="003E137D"/>
    <w:rsid w:val="003E3136"/>
    <w:rsid w:val="003E31FE"/>
    <w:rsid w:val="003F2191"/>
    <w:rsid w:val="00403AA7"/>
    <w:rsid w:val="00404BF8"/>
    <w:rsid w:val="00406FA0"/>
    <w:rsid w:val="0041041B"/>
    <w:rsid w:val="00411906"/>
    <w:rsid w:val="00413C34"/>
    <w:rsid w:val="0042079E"/>
    <w:rsid w:val="00422764"/>
    <w:rsid w:val="00426312"/>
    <w:rsid w:val="004266A5"/>
    <w:rsid w:val="00430443"/>
    <w:rsid w:val="004316F6"/>
    <w:rsid w:val="00434DED"/>
    <w:rsid w:val="004359D8"/>
    <w:rsid w:val="0044465E"/>
    <w:rsid w:val="00444C6E"/>
    <w:rsid w:val="0044738B"/>
    <w:rsid w:val="00453BF0"/>
    <w:rsid w:val="004578F9"/>
    <w:rsid w:val="004610E8"/>
    <w:rsid w:val="0046677F"/>
    <w:rsid w:val="00474DC3"/>
    <w:rsid w:val="004767BA"/>
    <w:rsid w:val="00480596"/>
    <w:rsid w:val="00480862"/>
    <w:rsid w:val="0048390C"/>
    <w:rsid w:val="004839CA"/>
    <w:rsid w:val="0048759F"/>
    <w:rsid w:val="004902F7"/>
    <w:rsid w:val="00494C39"/>
    <w:rsid w:val="00496662"/>
    <w:rsid w:val="004A041C"/>
    <w:rsid w:val="004A1FCE"/>
    <w:rsid w:val="004A4B3D"/>
    <w:rsid w:val="004A699D"/>
    <w:rsid w:val="004A6BD8"/>
    <w:rsid w:val="004B1AE2"/>
    <w:rsid w:val="004B22DE"/>
    <w:rsid w:val="004B2790"/>
    <w:rsid w:val="004D1CEA"/>
    <w:rsid w:val="004D381B"/>
    <w:rsid w:val="004D4B1D"/>
    <w:rsid w:val="004E1FC3"/>
    <w:rsid w:val="004E2A39"/>
    <w:rsid w:val="004E47A6"/>
    <w:rsid w:val="004E6C11"/>
    <w:rsid w:val="004F1AB1"/>
    <w:rsid w:val="004F4C8C"/>
    <w:rsid w:val="004F7B1D"/>
    <w:rsid w:val="0050307F"/>
    <w:rsid w:val="00503312"/>
    <w:rsid w:val="00503450"/>
    <w:rsid w:val="0050423B"/>
    <w:rsid w:val="00504572"/>
    <w:rsid w:val="00505114"/>
    <w:rsid w:val="00510A67"/>
    <w:rsid w:val="00513428"/>
    <w:rsid w:val="0052080C"/>
    <w:rsid w:val="00520FE0"/>
    <w:rsid w:val="00522286"/>
    <w:rsid w:val="0052693F"/>
    <w:rsid w:val="00527007"/>
    <w:rsid w:val="00527F98"/>
    <w:rsid w:val="00531633"/>
    <w:rsid w:val="0053552C"/>
    <w:rsid w:val="00536000"/>
    <w:rsid w:val="00542F38"/>
    <w:rsid w:val="00550FC8"/>
    <w:rsid w:val="0055192E"/>
    <w:rsid w:val="00557237"/>
    <w:rsid w:val="00560F4E"/>
    <w:rsid w:val="00564E8C"/>
    <w:rsid w:val="00572A14"/>
    <w:rsid w:val="00573045"/>
    <w:rsid w:val="00573081"/>
    <w:rsid w:val="00576F4B"/>
    <w:rsid w:val="005850A5"/>
    <w:rsid w:val="005906F2"/>
    <w:rsid w:val="00595F7B"/>
    <w:rsid w:val="005A11F3"/>
    <w:rsid w:val="005A7BA2"/>
    <w:rsid w:val="005B3948"/>
    <w:rsid w:val="005B4026"/>
    <w:rsid w:val="005B75BE"/>
    <w:rsid w:val="005C0FA5"/>
    <w:rsid w:val="005D1861"/>
    <w:rsid w:val="005F0549"/>
    <w:rsid w:val="005F1464"/>
    <w:rsid w:val="005F1592"/>
    <w:rsid w:val="005F1F16"/>
    <w:rsid w:val="005F2910"/>
    <w:rsid w:val="005F7EB0"/>
    <w:rsid w:val="0060363A"/>
    <w:rsid w:val="00611380"/>
    <w:rsid w:val="0061231D"/>
    <w:rsid w:val="00621B6A"/>
    <w:rsid w:val="006277CD"/>
    <w:rsid w:val="00627877"/>
    <w:rsid w:val="00630760"/>
    <w:rsid w:val="006331A5"/>
    <w:rsid w:val="006343F1"/>
    <w:rsid w:val="00634465"/>
    <w:rsid w:val="00635E30"/>
    <w:rsid w:val="00644C15"/>
    <w:rsid w:val="00647EE0"/>
    <w:rsid w:val="00650C2D"/>
    <w:rsid w:val="00660FC1"/>
    <w:rsid w:val="00663607"/>
    <w:rsid w:val="00667E2D"/>
    <w:rsid w:val="00670706"/>
    <w:rsid w:val="00686CAF"/>
    <w:rsid w:val="00690CE2"/>
    <w:rsid w:val="006A2F72"/>
    <w:rsid w:val="006A565A"/>
    <w:rsid w:val="006A752B"/>
    <w:rsid w:val="006B0B34"/>
    <w:rsid w:val="006B4176"/>
    <w:rsid w:val="006B56B8"/>
    <w:rsid w:val="006C0E65"/>
    <w:rsid w:val="006C1F0C"/>
    <w:rsid w:val="006C2231"/>
    <w:rsid w:val="006C5718"/>
    <w:rsid w:val="006C6405"/>
    <w:rsid w:val="006C7EA8"/>
    <w:rsid w:val="006D048D"/>
    <w:rsid w:val="006D0E4C"/>
    <w:rsid w:val="006D5148"/>
    <w:rsid w:val="006D6F88"/>
    <w:rsid w:val="006E3575"/>
    <w:rsid w:val="006F07E1"/>
    <w:rsid w:val="006F160A"/>
    <w:rsid w:val="006F2FFE"/>
    <w:rsid w:val="006F5BE1"/>
    <w:rsid w:val="006F7444"/>
    <w:rsid w:val="006F7DAE"/>
    <w:rsid w:val="0070728F"/>
    <w:rsid w:val="00730FFD"/>
    <w:rsid w:val="00734B8A"/>
    <w:rsid w:val="00735573"/>
    <w:rsid w:val="00736C99"/>
    <w:rsid w:val="0074546E"/>
    <w:rsid w:val="00747344"/>
    <w:rsid w:val="00750042"/>
    <w:rsid w:val="00756859"/>
    <w:rsid w:val="00761D4C"/>
    <w:rsid w:val="00762673"/>
    <w:rsid w:val="00767D93"/>
    <w:rsid w:val="00775A27"/>
    <w:rsid w:val="00780D8C"/>
    <w:rsid w:val="00780EAB"/>
    <w:rsid w:val="00792C98"/>
    <w:rsid w:val="00792FB2"/>
    <w:rsid w:val="0079694B"/>
    <w:rsid w:val="00796F98"/>
    <w:rsid w:val="007B43ED"/>
    <w:rsid w:val="007B4E77"/>
    <w:rsid w:val="007B6EEB"/>
    <w:rsid w:val="007B7F77"/>
    <w:rsid w:val="007C70C7"/>
    <w:rsid w:val="007D212E"/>
    <w:rsid w:val="007D6ED4"/>
    <w:rsid w:val="007E3A96"/>
    <w:rsid w:val="007F0273"/>
    <w:rsid w:val="007F070A"/>
    <w:rsid w:val="007F098C"/>
    <w:rsid w:val="007F6B8C"/>
    <w:rsid w:val="008062C3"/>
    <w:rsid w:val="00812EFF"/>
    <w:rsid w:val="00815AD2"/>
    <w:rsid w:val="00817985"/>
    <w:rsid w:val="00830111"/>
    <w:rsid w:val="00830138"/>
    <w:rsid w:val="00830C16"/>
    <w:rsid w:val="0083256E"/>
    <w:rsid w:val="00832FF9"/>
    <w:rsid w:val="00833AC2"/>
    <w:rsid w:val="0083708B"/>
    <w:rsid w:val="00845455"/>
    <w:rsid w:val="00845CC5"/>
    <w:rsid w:val="0085135D"/>
    <w:rsid w:val="00853219"/>
    <w:rsid w:val="008560F6"/>
    <w:rsid w:val="00864848"/>
    <w:rsid w:val="00864B6C"/>
    <w:rsid w:val="008659D6"/>
    <w:rsid w:val="00866FCB"/>
    <w:rsid w:val="00871289"/>
    <w:rsid w:val="00872272"/>
    <w:rsid w:val="00876478"/>
    <w:rsid w:val="008766A7"/>
    <w:rsid w:val="00884313"/>
    <w:rsid w:val="00891CB5"/>
    <w:rsid w:val="008A0EB0"/>
    <w:rsid w:val="008B2477"/>
    <w:rsid w:val="008C1B16"/>
    <w:rsid w:val="008C50BA"/>
    <w:rsid w:val="008C775D"/>
    <w:rsid w:val="008D2AB3"/>
    <w:rsid w:val="008D3654"/>
    <w:rsid w:val="008E30ED"/>
    <w:rsid w:val="008E5AC2"/>
    <w:rsid w:val="008E78C6"/>
    <w:rsid w:val="008E7FA5"/>
    <w:rsid w:val="008F32E1"/>
    <w:rsid w:val="008F5A70"/>
    <w:rsid w:val="009017A8"/>
    <w:rsid w:val="009037E0"/>
    <w:rsid w:val="00910059"/>
    <w:rsid w:val="00914F1F"/>
    <w:rsid w:val="00920C04"/>
    <w:rsid w:val="00927DA5"/>
    <w:rsid w:val="009348BC"/>
    <w:rsid w:val="00934AFF"/>
    <w:rsid w:val="009372B5"/>
    <w:rsid w:val="00944027"/>
    <w:rsid w:val="00946924"/>
    <w:rsid w:val="0095263D"/>
    <w:rsid w:val="009526A5"/>
    <w:rsid w:val="0096142B"/>
    <w:rsid w:val="00961C45"/>
    <w:rsid w:val="00963495"/>
    <w:rsid w:val="009636C1"/>
    <w:rsid w:val="00965BA4"/>
    <w:rsid w:val="009673A0"/>
    <w:rsid w:val="00970521"/>
    <w:rsid w:val="00971B68"/>
    <w:rsid w:val="009733BB"/>
    <w:rsid w:val="00980049"/>
    <w:rsid w:val="009815F9"/>
    <w:rsid w:val="00983435"/>
    <w:rsid w:val="00996259"/>
    <w:rsid w:val="00996684"/>
    <w:rsid w:val="009A472B"/>
    <w:rsid w:val="009A651E"/>
    <w:rsid w:val="009B4D51"/>
    <w:rsid w:val="009B6005"/>
    <w:rsid w:val="009B6AC7"/>
    <w:rsid w:val="009C2E64"/>
    <w:rsid w:val="009C7FF0"/>
    <w:rsid w:val="009D0AEF"/>
    <w:rsid w:val="009D1858"/>
    <w:rsid w:val="009D3094"/>
    <w:rsid w:val="009D5F16"/>
    <w:rsid w:val="009F4970"/>
    <w:rsid w:val="009F6E06"/>
    <w:rsid w:val="00A1430C"/>
    <w:rsid w:val="00A21B30"/>
    <w:rsid w:val="00A23702"/>
    <w:rsid w:val="00A26983"/>
    <w:rsid w:val="00A314BA"/>
    <w:rsid w:val="00A3306B"/>
    <w:rsid w:val="00A34D2F"/>
    <w:rsid w:val="00A404FC"/>
    <w:rsid w:val="00A4340B"/>
    <w:rsid w:val="00A47061"/>
    <w:rsid w:val="00A518B6"/>
    <w:rsid w:val="00A54BC0"/>
    <w:rsid w:val="00A574BB"/>
    <w:rsid w:val="00A57B07"/>
    <w:rsid w:val="00A57D43"/>
    <w:rsid w:val="00A57F0F"/>
    <w:rsid w:val="00A61D14"/>
    <w:rsid w:val="00A63D47"/>
    <w:rsid w:val="00A65279"/>
    <w:rsid w:val="00A70BFB"/>
    <w:rsid w:val="00A768BF"/>
    <w:rsid w:val="00A819F7"/>
    <w:rsid w:val="00A84F29"/>
    <w:rsid w:val="00A87F6B"/>
    <w:rsid w:val="00A90A95"/>
    <w:rsid w:val="00AA2553"/>
    <w:rsid w:val="00AA26A3"/>
    <w:rsid w:val="00AA7ACD"/>
    <w:rsid w:val="00AB0EAA"/>
    <w:rsid w:val="00AB143E"/>
    <w:rsid w:val="00AB3C20"/>
    <w:rsid w:val="00AB5340"/>
    <w:rsid w:val="00AB7400"/>
    <w:rsid w:val="00AC064B"/>
    <w:rsid w:val="00AC1613"/>
    <w:rsid w:val="00AC3DF6"/>
    <w:rsid w:val="00AC42FB"/>
    <w:rsid w:val="00AC4CC3"/>
    <w:rsid w:val="00AC5290"/>
    <w:rsid w:val="00AD00F6"/>
    <w:rsid w:val="00AD063D"/>
    <w:rsid w:val="00AD0D91"/>
    <w:rsid w:val="00AD5A0F"/>
    <w:rsid w:val="00AD6E4A"/>
    <w:rsid w:val="00AE0823"/>
    <w:rsid w:val="00AE08D3"/>
    <w:rsid w:val="00AE4571"/>
    <w:rsid w:val="00AE51BF"/>
    <w:rsid w:val="00AE6767"/>
    <w:rsid w:val="00AE6A05"/>
    <w:rsid w:val="00AE6BE9"/>
    <w:rsid w:val="00AF3D5F"/>
    <w:rsid w:val="00AF6D22"/>
    <w:rsid w:val="00B01726"/>
    <w:rsid w:val="00B02A01"/>
    <w:rsid w:val="00B02C32"/>
    <w:rsid w:val="00B02EDD"/>
    <w:rsid w:val="00B072D5"/>
    <w:rsid w:val="00B07A7F"/>
    <w:rsid w:val="00B111DF"/>
    <w:rsid w:val="00B277A9"/>
    <w:rsid w:val="00B3082A"/>
    <w:rsid w:val="00B324FD"/>
    <w:rsid w:val="00B32BFA"/>
    <w:rsid w:val="00B34EF7"/>
    <w:rsid w:val="00B4476F"/>
    <w:rsid w:val="00B5795F"/>
    <w:rsid w:val="00B63F8E"/>
    <w:rsid w:val="00B71DB4"/>
    <w:rsid w:val="00B72FFD"/>
    <w:rsid w:val="00B733CB"/>
    <w:rsid w:val="00B80136"/>
    <w:rsid w:val="00B81DD4"/>
    <w:rsid w:val="00B82E22"/>
    <w:rsid w:val="00B86556"/>
    <w:rsid w:val="00B908DF"/>
    <w:rsid w:val="00B91D82"/>
    <w:rsid w:val="00B94C4A"/>
    <w:rsid w:val="00B9637A"/>
    <w:rsid w:val="00B96AC7"/>
    <w:rsid w:val="00BA4554"/>
    <w:rsid w:val="00BA4BA3"/>
    <w:rsid w:val="00BA64AF"/>
    <w:rsid w:val="00BA7108"/>
    <w:rsid w:val="00BB0AC6"/>
    <w:rsid w:val="00BB1E65"/>
    <w:rsid w:val="00BC53CA"/>
    <w:rsid w:val="00BC6790"/>
    <w:rsid w:val="00BC6948"/>
    <w:rsid w:val="00BD54A0"/>
    <w:rsid w:val="00BE3DE9"/>
    <w:rsid w:val="00BE3E77"/>
    <w:rsid w:val="00BE4DAA"/>
    <w:rsid w:val="00BE73CF"/>
    <w:rsid w:val="00BF58FF"/>
    <w:rsid w:val="00BF5A26"/>
    <w:rsid w:val="00C0052D"/>
    <w:rsid w:val="00C02288"/>
    <w:rsid w:val="00C070A1"/>
    <w:rsid w:val="00C11BBE"/>
    <w:rsid w:val="00C16267"/>
    <w:rsid w:val="00C16C0E"/>
    <w:rsid w:val="00C2333D"/>
    <w:rsid w:val="00C261D0"/>
    <w:rsid w:val="00C26D19"/>
    <w:rsid w:val="00C35A80"/>
    <w:rsid w:val="00C37E98"/>
    <w:rsid w:val="00C414C0"/>
    <w:rsid w:val="00C42153"/>
    <w:rsid w:val="00C447FF"/>
    <w:rsid w:val="00C465C5"/>
    <w:rsid w:val="00C52AF4"/>
    <w:rsid w:val="00C52B12"/>
    <w:rsid w:val="00C53125"/>
    <w:rsid w:val="00C53E04"/>
    <w:rsid w:val="00C5499B"/>
    <w:rsid w:val="00C54BF8"/>
    <w:rsid w:val="00C64C57"/>
    <w:rsid w:val="00C70CA8"/>
    <w:rsid w:val="00C74E49"/>
    <w:rsid w:val="00C76F3A"/>
    <w:rsid w:val="00C83FC9"/>
    <w:rsid w:val="00C900E9"/>
    <w:rsid w:val="00C90A13"/>
    <w:rsid w:val="00C9166E"/>
    <w:rsid w:val="00C9305D"/>
    <w:rsid w:val="00CA02E3"/>
    <w:rsid w:val="00CA52CB"/>
    <w:rsid w:val="00CA58A1"/>
    <w:rsid w:val="00CA5DD2"/>
    <w:rsid w:val="00CB2D5A"/>
    <w:rsid w:val="00CB76B1"/>
    <w:rsid w:val="00CC006E"/>
    <w:rsid w:val="00CC1471"/>
    <w:rsid w:val="00CC6564"/>
    <w:rsid w:val="00CC7341"/>
    <w:rsid w:val="00CD2B0C"/>
    <w:rsid w:val="00CD3069"/>
    <w:rsid w:val="00CD4F53"/>
    <w:rsid w:val="00CD65B6"/>
    <w:rsid w:val="00CE332D"/>
    <w:rsid w:val="00CE6761"/>
    <w:rsid w:val="00CE6903"/>
    <w:rsid w:val="00D000A5"/>
    <w:rsid w:val="00D019E4"/>
    <w:rsid w:val="00D02056"/>
    <w:rsid w:val="00D036A4"/>
    <w:rsid w:val="00D04D6E"/>
    <w:rsid w:val="00D05A4D"/>
    <w:rsid w:val="00D06995"/>
    <w:rsid w:val="00D10BC5"/>
    <w:rsid w:val="00D175D8"/>
    <w:rsid w:val="00D2005C"/>
    <w:rsid w:val="00D3062F"/>
    <w:rsid w:val="00D3394F"/>
    <w:rsid w:val="00D34616"/>
    <w:rsid w:val="00D3511A"/>
    <w:rsid w:val="00D36E12"/>
    <w:rsid w:val="00D42967"/>
    <w:rsid w:val="00D460B7"/>
    <w:rsid w:val="00D509DF"/>
    <w:rsid w:val="00D53DFF"/>
    <w:rsid w:val="00D54D94"/>
    <w:rsid w:val="00D62D5C"/>
    <w:rsid w:val="00D664CB"/>
    <w:rsid w:val="00D66B0E"/>
    <w:rsid w:val="00D67E53"/>
    <w:rsid w:val="00D80952"/>
    <w:rsid w:val="00D81BE7"/>
    <w:rsid w:val="00D829BC"/>
    <w:rsid w:val="00D82E41"/>
    <w:rsid w:val="00D82E4C"/>
    <w:rsid w:val="00D845BD"/>
    <w:rsid w:val="00D84F85"/>
    <w:rsid w:val="00D95E78"/>
    <w:rsid w:val="00DA0D52"/>
    <w:rsid w:val="00DA314B"/>
    <w:rsid w:val="00DB2EDD"/>
    <w:rsid w:val="00DB2F45"/>
    <w:rsid w:val="00DC1374"/>
    <w:rsid w:val="00DC1818"/>
    <w:rsid w:val="00DC34C4"/>
    <w:rsid w:val="00DC40CD"/>
    <w:rsid w:val="00DD191D"/>
    <w:rsid w:val="00DD29B4"/>
    <w:rsid w:val="00DD5B89"/>
    <w:rsid w:val="00DE246D"/>
    <w:rsid w:val="00DE6F2E"/>
    <w:rsid w:val="00DF6D6E"/>
    <w:rsid w:val="00E03F98"/>
    <w:rsid w:val="00E04734"/>
    <w:rsid w:val="00E05E56"/>
    <w:rsid w:val="00E05EE3"/>
    <w:rsid w:val="00E10F9C"/>
    <w:rsid w:val="00E129F7"/>
    <w:rsid w:val="00E1316B"/>
    <w:rsid w:val="00E17E99"/>
    <w:rsid w:val="00E2354A"/>
    <w:rsid w:val="00E269B5"/>
    <w:rsid w:val="00E32E03"/>
    <w:rsid w:val="00E40128"/>
    <w:rsid w:val="00E4162C"/>
    <w:rsid w:val="00E50293"/>
    <w:rsid w:val="00E51B36"/>
    <w:rsid w:val="00E612EB"/>
    <w:rsid w:val="00E61A9D"/>
    <w:rsid w:val="00E6329E"/>
    <w:rsid w:val="00E633B3"/>
    <w:rsid w:val="00E65911"/>
    <w:rsid w:val="00E67BA4"/>
    <w:rsid w:val="00E73542"/>
    <w:rsid w:val="00E744F2"/>
    <w:rsid w:val="00E7622A"/>
    <w:rsid w:val="00E774EE"/>
    <w:rsid w:val="00E77DF0"/>
    <w:rsid w:val="00E90566"/>
    <w:rsid w:val="00E92A7B"/>
    <w:rsid w:val="00E934A6"/>
    <w:rsid w:val="00E95D4B"/>
    <w:rsid w:val="00EA1021"/>
    <w:rsid w:val="00EA2854"/>
    <w:rsid w:val="00EA50D2"/>
    <w:rsid w:val="00EA668C"/>
    <w:rsid w:val="00EB193E"/>
    <w:rsid w:val="00EB2976"/>
    <w:rsid w:val="00EB3D72"/>
    <w:rsid w:val="00EB62A5"/>
    <w:rsid w:val="00ED145A"/>
    <w:rsid w:val="00ED2047"/>
    <w:rsid w:val="00ED501F"/>
    <w:rsid w:val="00ED5EAA"/>
    <w:rsid w:val="00EF051A"/>
    <w:rsid w:val="00EF4DFE"/>
    <w:rsid w:val="00F00967"/>
    <w:rsid w:val="00F035D0"/>
    <w:rsid w:val="00F04761"/>
    <w:rsid w:val="00F07ABF"/>
    <w:rsid w:val="00F07BA2"/>
    <w:rsid w:val="00F10CB7"/>
    <w:rsid w:val="00F10F90"/>
    <w:rsid w:val="00F12891"/>
    <w:rsid w:val="00F165D8"/>
    <w:rsid w:val="00F20B3A"/>
    <w:rsid w:val="00F251C8"/>
    <w:rsid w:val="00F3199A"/>
    <w:rsid w:val="00F423AB"/>
    <w:rsid w:val="00F4419C"/>
    <w:rsid w:val="00F45358"/>
    <w:rsid w:val="00F45F7C"/>
    <w:rsid w:val="00F46E57"/>
    <w:rsid w:val="00F526BF"/>
    <w:rsid w:val="00F529B4"/>
    <w:rsid w:val="00F541D9"/>
    <w:rsid w:val="00F55E7A"/>
    <w:rsid w:val="00F5695E"/>
    <w:rsid w:val="00F612FC"/>
    <w:rsid w:val="00F61CC8"/>
    <w:rsid w:val="00F65F67"/>
    <w:rsid w:val="00F7032B"/>
    <w:rsid w:val="00F73C63"/>
    <w:rsid w:val="00F776CB"/>
    <w:rsid w:val="00F82331"/>
    <w:rsid w:val="00F82ED6"/>
    <w:rsid w:val="00F86763"/>
    <w:rsid w:val="00F93E3C"/>
    <w:rsid w:val="00FA4AF7"/>
    <w:rsid w:val="00FA535D"/>
    <w:rsid w:val="00FA6244"/>
    <w:rsid w:val="00FA7F25"/>
    <w:rsid w:val="00FC6711"/>
    <w:rsid w:val="00FC70D8"/>
    <w:rsid w:val="00FC79F4"/>
    <w:rsid w:val="00FD48DB"/>
    <w:rsid w:val="00FD5428"/>
    <w:rsid w:val="00FD5D5D"/>
    <w:rsid w:val="00FD60AB"/>
    <w:rsid w:val="00FE71DC"/>
    <w:rsid w:val="00FF570D"/>
    <w:rsid w:val="010975C0"/>
    <w:rsid w:val="012E1D7E"/>
    <w:rsid w:val="016A4161"/>
    <w:rsid w:val="016D3E8B"/>
    <w:rsid w:val="019378B8"/>
    <w:rsid w:val="01AF6F48"/>
    <w:rsid w:val="01D14E0A"/>
    <w:rsid w:val="01F571E8"/>
    <w:rsid w:val="022E7B91"/>
    <w:rsid w:val="025E504B"/>
    <w:rsid w:val="028A67B7"/>
    <w:rsid w:val="02AE56F2"/>
    <w:rsid w:val="02C26EAC"/>
    <w:rsid w:val="02C7409E"/>
    <w:rsid w:val="03086CC3"/>
    <w:rsid w:val="03701033"/>
    <w:rsid w:val="037D3B70"/>
    <w:rsid w:val="03E21E36"/>
    <w:rsid w:val="03FD7433"/>
    <w:rsid w:val="04013663"/>
    <w:rsid w:val="043714E6"/>
    <w:rsid w:val="04380A7C"/>
    <w:rsid w:val="045254EA"/>
    <w:rsid w:val="04540AF8"/>
    <w:rsid w:val="04612204"/>
    <w:rsid w:val="048263E1"/>
    <w:rsid w:val="050D64D6"/>
    <w:rsid w:val="051416E4"/>
    <w:rsid w:val="05197D6A"/>
    <w:rsid w:val="05294FB6"/>
    <w:rsid w:val="052B43E3"/>
    <w:rsid w:val="052E4B40"/>
    <w:rsid w:val="05320C94"/>
    <w:rsid w:val="054F6DAC"/>
    <w:rsid w:val="05621030"/>
    <w:rsid w:val="057B2476"/>
    <w:rsid w:val="05906374"/>
    <w:rsid w:val="05C27B5A"/>
    <w:rsid w:val="05C9041C"/>
    <w:rsid w:val="060A6F1F"/>
    <w:rsid w:val="062A6C18"/>
    <w:rsid w:val="0677690F"/>
    <w:rsid w:val="06891246"/>
    <w:rsid w:val="06B20C92"/>
    <w:rsid w:val="06C510AB"/>
    <w:rsid w:val="06E573E1"/>
    <w:rsid w:val="06FF4834"/>
    <w:rsid w:val="073F6B6E"/>
    <w:rsid w:val="0743506F"/>
    <w:rsid w:val="077965D0"/>
    <w:rsid w:val="0779795F"/>
    <w:rsid w:val="077E1470"/>
    <w:rsid w:val="07B12C6F"/>
    <w:rsid w:val="07B567B5"/>
    <w:rsid w:val="07B627BB"/>
    <w:rsid w:val="07F5179D"/>
    <w:rsid w:val="07F6721E"/>
    <w:rsid w:val="08224033"/>
    <w:rsid w:val="082C3E75"/>
    <w:rsid w:val="08431B87"/>
    <w:rsid w:val="0860304A"/>
    <w:rsid w:val="090D5B68"/>
    <w:rsid w:val="094F6556"/>
    <w:rsid w:val="09942142"/>
    <w:rsid w:val="09BB7E03"/>
    <w:rsid w:val="09D33537"/>
    <w:rsid w:val="09ED516A"/>
    <w:rsid w:val="09F31366"/>
    <w:rsid w:val="09F62F1C"/>
    <w:rsid w:val="0A074198"/>
    <w:rsid w:val="0A2907B7"/>
    <w:rsid w:val="0A347ACD"/>
    <w:rsid w:val="0A5B6B36"/>
    <w:rsid w:val="0A973D39"/>
    <w:rsid w:val="0AB13097"/>
    <w:rsid w:val="0AD234A4"/>
    <w:rsid w:val="0ADD11E0"/>
    <w:rsid w:val="0B5275BB"/>
    <w:rsid w:val="0B7329D8"/>
    <w:rsid w:val="0B8033F4"/>
    <w:rsid w:val="0B887C16"/>
    <w:rsid w:val="0B8D336D"/>
    <w:rsid w:val="0BA93315"/>
    <w:rsid w:val="0BBF430D"/>
    <w:rsid w:val="0BCD335D"/>
    <w:rsid w:val="0BEB642B"/>
    <w:rsid w:val="0C343B93"/>
    <w:rsid w:val="0C7A75D6"/>
    <w:rsid w:val="0C822B95"/>
    <w:rsid w:val="0CC17881"/>
    <w:rsid w:val="0CC7797C"/>
    <w:rsid w:val="0D24239E"/>
    <w:rsid w:val="0D3927D6"/>
    <w:rsid w:val="0D494B5D"/>
    <w:rsid w:val="0D706468"/>
    <w:rsid w:val="0D79306A"/>
    <w:rsid w:val="0D7C24B0"/>
    <w:rsid w:val="0DB81ED3"/>
    <w:rsid w:val="0DBE6D1A"/>
    <w:rsid w:val="0DD77754"/>
    <w:rsid w:val="0DDB0848"/>
    <w:rsid w:val="0DF02D6C"/>
    <w:rsid w:val="0E2048E7"/>
    <w:rsid w:val="0E2E60D4"/>
    <w:rsid w:val="0E3D4506"/>
    <w:rsid w:val="0EA74A99"/>
    <w:rsid w:val="0ECD69B2"/>
    <w:rsid w:val="0EE448FE"/>
    <w:rsid w:val="0EE4501A"/>
    <w:rsid w:val="0F4C511D"/>
    <w:rsid w:val="0F6D0FDF"/>
    <w:rsid w:val="0F6E236F"/>
    <w:rsid w:val="0F883D87"/>
    <w:rsid w:val="0FD4413F"/>
    <w:rsid w:val="101007E8"/>
    <w:rsid w:val="10105C4F"/>
    <w:rsid w:val="10267EEA"/>
    <w:rsid w:val="102719A3"/>
    <w:rsid w:val="10331E00"/>
    <w:rsid w:val="10A1053B"/>
    <w:rsid w:val="10A40B64"/>
    <w:rsid w:val="10BB502E"/>
    <w:rsid w:val="10BE0661"/>
    <w:rsid w:val="10E30B54"/>
    <w:rsid w:val="10EF7E56"/>
    <w:rsid w:val="10FB74EC"/>
    <w:rsid w:val="11291382"/>
    <w:rsid w:val="112E2BCE"/>
    <w:rsid w:val="116F2256"/>
    <w:rsid w:val="11720911"/>
    <w:rsid w:val="11B07467"/>
    <w:rsid w:val="11D24A12"/>
    <w:rsid w:val="11EB0498"/>
    <w:rsid w:val="12265954"/>
    <w:rsid w:val="1240127E"/>
    <w:rsid w:val="12E36BE9"/>
    <w:rsid w:val="13476F73"/>
    <w:rsid w:val="134A2234"/>
    <w:rsid w:val="13522F3C"/>
    <w:rsid w:val="135862FE"/>
    <w:rsid w:val="13AE5D8B"/>
    <w:rsid w:val="13DB250E"/>
    <w:rsid w:val="141E5A8F"/>
    <w:rsid w:val="144471E1"/>
    <w:rsid w:val="146B221D"/>
    <w:rsid w:val="14857D7E"/>
    <w:rsid w:val="14E51FD5"/>
    <w:rsid w:val="15051E0D"/>
    <w:rsid w:val="15220E5F"/>
    <w:rsid w:val="15603A94"/>
    <w:rsid w:val="1584248A"/>
    <w:rsid w:val="15BD7BC5"/>
    <w:rsid w:val="15C33BC1"/>
    <w:rsid w:val="15CA354C"/>
    <w:rsid w:val="15E421C5"/>
    <w:rsid w:val="15EF7F09"/>
    <w:rsid w:val="16164B1D"/>
    <w:rsid w:val="161B07C1"/>
    <w:rsid w:val="162B7F74"/>
    <w:rsid w:val="163141F5"/>
    <w:rsid w:val="16472532"/>
    <w:rsid w:val="16575593"/>
    <w:rsid w:val="166501A0"/>
    <w:rsid w:val="16A42E71"/>
    <w:rsid w:val="16DC737B"/>
    <w:rsid w:val="16ED23AA"/>
    <w:rsid w:val="16F75359"/>
    <w:rsid w:val="16F9302B"/>
    <w:rsid w:val="17244AB4"/>
    <w:rsid w:val="17623111"/>
    <w:rsid w:val="177D6B6E"/>
    <w:rsid w:val="17976347"/>
    <w:rsid w:val="17C93012"/>
    <w:rsid w:val="17F246C6"/>
    <w:rsid w:val="180F7E2D"/>
    <w:rsid w:val="18413EEA"/>
    <w:rsid w:val="184B0A72"/>
    <w:rsid w:val="185433F1"/>
    <w:rsid w:val="189854D7"/>
    <w:rsid w:val="18B33C78"/>
    <w:rsid w:val="18D934ED"/>
    <w:rsid w:val="18EB43EE"/>
    <w:rsid w:val="19054D5F"/>
    <w:rsid w:val="19095676"/>
    <w:rsid w:val="193C142F"/>
    <w:rsid w:val="199944A6"/>
    <w:rsid w:val="19CD5810"/>
    <w:rsid w:val="19F56ADE"/>
    <w:rsid w:val="1A3C2A96"/>
    <w:rsid w:val="1A445924"/>
    <w:rsid w:val="1A4723BE"/>
    <w:rsid w:val="1A4F3CB5"/>
    <w:rsid w:val="1AD86198"/>
    <w:rsid w:val="1BC7001F"/>
    <w:rsid w:val="1BC73627"/>
    <w:rsid w:val="1BF27DCB"/>
    <w:rsid w:val="1C4A45AE"/>
    <w:rsid w:val="1C715266"/>
    <w:rsid w:val="1C766D20"/>
    <w:rsid w:val="1C8D5A56"/>
    <w:rsid w:val="1C912F6B"/>
    <w:rsid w:val="1CA652C6"/>
    <w:rsid w:val="1CAC2101"/>
    <w:rsid w:val="1D1979CC"/>
    <w:rsid w:val="1D22285A"/>
    <w:rsid w:val="1D6065C3"/>
    <w:rsid w:val="1D697BB6"/>
    <w:rsid w:val="1D76349B"/>
    <w:rsid w:val="1E297809"/>
    <w:rsid w:val="1E321842"/>
    <w:rsid w:val="1E452734"/>
    <w:rsid w:val="1E6D287C"/>
    <w:rsid w:val="1E930551"/>
    <w:rsid w:val="1EBC7C5A"/>
    <w:rsid w:val="1F3D7E06"/>
    <w:rsid w:val="1F477FE0"/>
    <w:rsid w:val="1F527555"/>
    <w:rsid w:val="1F746C7A"/>
    <w:rsid w:val="1F7B0ED3"/>
    <w:rsid w:val="1FB34C65"/>
    <w:rsid w:val="1FCE2564"/>
    <w:rsid w:val="1FD00E3E"/>
    <w:rsid w:val="1FD93CCC"/>
    <w:rsid w:val="1FDB70F1"/>
    <w:rsid w:val="1FDE0FF8"/>
    <w:rsid w:val="1FDF00AB"/>
    <w:rsid w:val="20091CC5"/>
    <w:rsid w:val="200B61DD"/>
    <w:rsid w:val="203F5CFF"/>
    <w:rsid w:val="2060125A"/>
    <w:rsid w:val="20E14CBF"/>
    <w:rsid w:val="21270BC7"/>
    <w:rsid w:val="216D3A5C"/>
    <w:rsid w:val="217F7880"/>
    <w:rsid w:val="21A458C1"/>
    <w:rsid w:val="21C57FF4"/>
    <w:rsid w:val="21E45026"/>
    <w:rsid w:val="21FA7AAB"/>
    <w:rsid w:val="222C2C16"/>
    <w:rsid w:val="22336F5C"/>
    <w:rsid w:val="223645F2"/>
    <w:rsid w:val="224D3980"/>
    <w:rsid w:val="227448F5"/>
    <w:rsid w:val="228D1FBC"/>
    <w:rsid w:val="228E3AE5"/>
    <w:rsid w:val="22B456FE"/>
    <w:rsid w:val="22F37709"/>
    <w:rsid w:val="2316445B"/>
    <w:rsid w:val="23172A5E"/>
    <w:rsid w:val="23370256"/>
    <w:rsid w:val="233C0618"/>
    <w:rsid w:val="23A65488"/>
    <w:rsid w:val="243D7313"/>
    <w:rsid w:val="24505EA2"/>
    <w:rsid w:val="247F6A01"/>
    <w:rsid w:val="24872468"/>
    <w:rsid w:val="2497229B"/>
    <w:rsid w:val="24982698"/>
    <w:rsid w:val="24E738D2"/>
    <w:rsid w:val="25127EFB"/>
    <w:rsid w:val="2515264E"/>
    <w:rsid w:val="253F1D6D"/>
    <w:rsid w:val="25640B40"/>
    <w:rsid w:val="2590103F"/>
    <w:rsid w:val="25937A67"/>
    <w:rsid w:val="25D25C1D"/>
    <w:rsid w:val="25F0458E"/>
    <w:rsid w:val="25FF1B34"/>
    <w:rsid w:val="260C6332"/>
    <w:rsid w:val="26344B73"/>
    <w:rsid w:val="264D475F"/>
    <w:rsid w:val="269B50FE"/>
    <w:rsid w:val="26C16D60"/>
    <w:rsid w:val="26D16311"/>
    <w:rsid w:val="26D60321"/>
    <w:rsid w:val="26DF6A52"/>
    <w:rsid w:val="26EF3916"/>
    <w:rsid w:val="27280325"/>
    <w:rsid w:val="275E164C"/>
    <w:rsid w:val="277933CE"/>
    <w:rsid w:val="277A68D1"/>
    <w:rsid w:val="27AC6511"/>
    <w:rsid w:val="27C128C8"/>
    <w:rsid w:val="27C17045"/>
    <w:rsid w:val="27C71094"/>
    <w:rsid w:val="27DA143D"/>
    <w:rsid w:val="27E04077"/>
    <w:rsid w:val="280A35DB"/>
    <w:rsid w:val="284A5949"/>
    <w:rsid w:val="284C6268"/>
    <w:rsid w:val="28A445BC"/>
    <w:rsid w:val="290F7066"/>
    <w:rsid w:val="291909ED"/>
    <w:rsid w:val="2924709F"/>
    <w:rsid w:val="29421575"/>
    <w:rsid w:val="29900BD5"/>
    <w:rsid w:val="29940B5B"/>
    <w:rsid w:val="29C0458C"/>
    <w:rsid w:val="29D2154B"/>
    <w:rsid w:val="29DC0F7D"/>
    <w:rsid w:val="29FF56F6"/>
    <w:rsid w:val="2A3515A7"/>
    <w:rsid w:val="2A910084"/>
    <w:rsid w:val="2A9C51F4"/>
    <w:rsid w:val="2AA5019B"/>
    <w:rsid w:val="2AA81007"/>
    <w:rsid w:val="2AD47D97"/>
    <w:rsid w:val="2AE46C6D"/>
    <w:rsid w:val="2B1A341F"/>
    <w:rsid w:val="2B5D30B4"/>
    <w:rsid w:val="2B5F09E6"/>
    <w:rsid w:val="2B751EC2"/>
    <w:rsid w:val="2B9622AA"/>
    <w:rsid w:val="2BAF407B"/>
    <w:rsid w:val="2BDD6E85"/>
    <w:rsid w:val="2BDE55EC"/>
    <w:rsid w:val="2C053276"/>
    <w:rsid w:val="2C825415"/>
    <w:rsid w:val="2C98260D"/>
    <w:rsid w:val="2CD15194"/>
    <w:rsid w:val="2CD84B08"/>
    <w:rsid w:val="2D1013C7"/>
    <w:rsid w:val="2D4D026B"/>
    <w:rsid w:val="2D565041"/>
    <w:rsid w:val="2D614963"/>
    <w:rsid w:val="2D6B1B0F"/>
    <w:rsid w:val="2D780E25"/>
    <w:rsid w:val="2D7D7979"/>
    <w:rsid w:val="2D8944AE"/>
    <w:rsid w:val="2D90756F"/>
    <w:rsid w:val="2DAE3551"/>
    <w:rsid w:val="2DB97690"/>
    <w:rsid w:val="2DC16196"/>
    <w:rsid w:val="2DCC019E"/>
    <w:rsid w:val="2E1847DB"/>
    <w:rsid w:val="2E650E2E"/>
    <w:rsid w:val="2E6772C6"/>
    <w:rsid w:val="2E7B0B63"/>
    <w:rsid w:val="2E7F3812"/>
    <w:rsid w:val="2EA30433"/>
    <w:rsid w:val="2EBB5CC0"/>
    <w:rsid w:val="2EC55F12"/>
    <w:rsid w:val="2EC8656D"/>
    <w:rsid w:val="2F021B0D"/>
    <w:rsid w:val="2F0A5D38"/>
    <w:rsid w:val="2F4F3697"/>
    <w:rsid w:val="2F6E12E0"/>
    <w:rsid w:val="2FD23B0A"/>
    <w:rsid w:val="30226805"/>
    <w:rsid w:val="30244CDC"/>
    <w:rsid w:val="30591349"/>
    <w:rsid w:val="308A71D7"/>
    <w:rsid w:val="30C87959"/>
    <w:rsid w:val="30D269A9"/>
    <w:rsid w:val="30F545DF"/>
    <w:rsid w:val="312E383F"/>
    <w:rsid w:val="3159349B"/>
    <w:rsid w:val="316612DF"/>
    <w:rsid w:val="316A1F4B"/>
    <w:rsid w:val="3172522D"/>
    <w:rsid w:val="318F713A"/>
    <w:rsid w:val="319F154B"/>
    <w:rsid w:val="31D22CC8"/>
    <w:rsid w:val="31FC0ED4"/>
    <w:rsid w:val="31FE2893"/>
    <w:rsid w:val="3229553B"/>
    <w:rsid w:val="326203B9"/>
    <w:rsid w:val="32994C8F"/>
    <w:rsid w:val="32BC2E3F"/>
    <w:rsid w:val="32D866CE"/>
    <w:rsid w:val="32F40415"/>
    <w:rsid w:val="32FA5FAE"/>
    <w:rsid w:val="330E4C4E"/>
    <w:rsid w:val="331F3816"/>
    <w:rsid w:val="3346062B"/>
    <w:rsid w:val="334E12BB"/>
    <w:rsid w:val="336C2A69"/>
    <w:rsid w:val="33711C1C"/>
    <w:rsid w:val="337A6C9E"/>
    <w:rsid w:val="33C71E7E"/>
    <w:rsid w:val="33CE493A"/>
    <w:rsid w:val="34401B48"/>
    <w:rsid w:val="34415547"/>
    <w:rsid w:val="34A15E61"/>
    <w:rsid w:val="34BD2DCB"/>
    <w:rsid w:val="34C14DB2"/>
    <w:rsid w:val="34CE4C2F"/>
    <w:rsid w:val="34D81ECE"/>
    <w:rsid w:val="34ED6DC2"/>
    <w:rsid w:val="35021A83"/>
    <w:rsid w:val="35046390"/>
    <w:rsid w:val="35064D89"/>
    <w:rsid w:val="3576776A"/>
    <w:rsid w:val="35790A92"/>
    <w:rsid w:val="357C75A0"/>
    <w:rsid w:val="358D193E"/>
    <w:rsid w:val="35AB6B9C"/>
    <w:rsid w:val="35C054BC"/>
    <w:rsid w:val="35FE0BA4"/>
    <w:rsid w:val="367F69B8"/>
    <w:rsid w:val="368A544A"/>
    <w:rsid w:val="36A01C91"/>
    <w:rsid w:val="36DF0CF0"/>
    <w:rsid w:val="37292890"/>
    <w:rsid w:val="37406543"/>
    <w:rsid w:val="374154F9"/>
    <w:rsid w:val="374E0226"/>
    <w:rsid w:val="375C1859"/>
    <w:rsid w:val="37676AF2"/>
    <w:rsid w:val="377E2DC0"/>
    <w:rsid w:val="37D71326"/>
    <w:rsid w:val="37FB7365"/>
    <w:rsid w:val="383B2286"/>
    <w:rsid w:val="387E2600"/>
    <w:rsid w:val="389C5AC4"/>
    <w:rsid w:val="38AD2843"/>
    <w:rsid w:val="38AE3CA4"/>
    <w:rsid w:val="38BA185E"/>
    <w:rsid w:val="38CC6987"/>
    <w:rsid w:val="38D77FCD"/>
    <w:rsid w:val="38EF4C96"/>
    <w:rsid w:val="38F4303D"/>
    <w:rsid w:val="395F355D"/>
    <w:rsid w:val="39607F31"/>
    <w:rsid w:val="39780534"/>
    <w:rsid w:val="39E248DD"/>
    <w:rsid w:val="3A135968"/>
    <w:rsid w:val="3A4926AF"/>
    <w:rsid w:val="3A4D11BD"/>
    <w:rsid w:val="3A684EE0"/>
    <w:rsid w:val="3A9972C3"/>
    <w:rsid w:val="3AB10979"/>
    <w:rsid w:val="3AC6469C"/>
    <w:rsid w:val="3AC961FF"/>
    <w:rsid w:val="3B3977B7"/>
    <w:rsid w:val="3B9F298D"/>
    <w:rsid w:val="3C136D4B"/>
    <w:rsid w:val="3C245CF9"/>
    <w:rsid w:val="3C55490B"/>
    <w:rsid w:val="3C69547B"/>
    <w:rsid w:val="3C7F0BAF"/>
    <w:rsid w:val="3C850C3F"/>
    <w:rsid w:val="3C977AEB"/>
    <w:rsid w:val="3CB6346D"/>
    <w:rsid w:val="3CCC439D"/>
    <w:rsid w:val="3CEA236A"/>
    <w:rsid w:val="3D0B1E0E"/>
    <w:rsid w:val="3D2A28B0"/>
    <w:rsid w:val="3D3C2019"/>
    <w:rsid w:val="3D4D5E30"/>
    <w:rsid w:val="3D5733BF"/>
    <w:rsid w:val="3DB37266"/>
    <w:rsid w:val="3DB9162E"/>
    <w:rsid w:val="3DC92CFC"/>
    <w:rsid w:val="3E01275B"/>
    <w:rsid w:val="3E064042"/>
    <w:rsid w:val="3E2A2088"/>
    <w:rsid w:val="3E2B7928"/>
    <w:rsid w:val="3E9D45C5"/>
    <w:rsid w:val="3EDE2E31"/>
    <w:rsid w:val="3EEC4E03"/>
    <w:rsid w:val="3F021D6B"/>
    <w:rsid w:val="3F442F51"/>
    <w:rsid w:val="3F452444"/>
    <w:rsid w:val="3F453ADA"/>
    <w:rsid w:val="3F5D1180"/>
    <w:rsid w:val="3F7024D9"/>
    <w:rsid w:val="3FAF0F8B"/>
    <w:rsid w:val="3FDFF7F2"/>
    <w:rsid w:val="3FFF678B"/>
    <w:rsid w:val="401E123E"/>
    <w:rsid w:val="40530EB6"/>
    <w:rsid w:val="40EB4D37"/>
    <w:rsid w:val="410869FF"/>
    <w:rsid w:val="4124436F"/>
    <w:rsid w:val="41AE2C4F"/>
    <w:rsid w:val="420E5DAD"/>
    <w:rsid w:val="423157A6"/>
    <w:rsid w:val="42575393"/>
    <w:rsid w:val="42585D82"/>
    <w:rsid w:val="427953A1"/>
    <w:rsid w:val="427D5F8C"/>
    <w:rsid w:val="42D25D6C"/>
    <w:rsid w:val="42D47EA4"/>
    <w:rsid w:val="42E27A9F"/>
    <w:rsid w:val="42E5157B"/>
    <w:rsid w:val="43087FB9"/>
    <w:rsid w:val="43145AE7"/>
    <w:rsid w:val="433D2460"/>
    <w:rsid w:val="439D247A"/>
    <w:rsid w:val="43A93D0E"/>
    <w:rsid w:val="43C610C0"/>
    <w:rsid w:val="43C66773"/>
    <w:rsid w:val="43CF2E72"/>
    <w:rsid w:val="43D1086E"/>
    <w:rsid w:val="43DE1C2D"/>
    <w:rsid w:val="43EF0171"/>
    <w:rsid w:val="442126D3"/>
    <w:rsid w:val="4491620A"/>
    <w:rsid w:val="44A8407C"/>
    <w:rsid w:val="44BC3BFE"/>
    <w:rsid w:val="44BD7A11"/>
    <w:rsid w:val="44EB3558"/>
    <w:rsid w:val="44F96AE1"/>
    <w:rsid w:val="45097FB7"/>
    <w:rsid w:val="450A3737"/>
    <w:rsid w:val="4520319B"/>
    <w:rsid w:val="45213848"/>
    <w:rsid w:val="45D25B48"/>
    <w:rsid w:val="45E95399"/>
    <w:rsid w:val="4619280E"/>
    <w:rsid w:val="46402BCA"/>
    <w:rsid w:val="464858DB"/>
    <w:rsid w:val="468C72C9"/>
    <w:rsid w:val="469D485A"/>
    <w:rsid w:val="46EB2B66"/>
    <w:rsid w:val="4714544A"/>
    <w:rsid w:val="47193A36"/>
    <w:rsid w:val="475229BB"/>
    <w:rsid w:val="475F0927"/>
    <w:rsid w:val="47830D6E"/>
    <w:rsid w:val="479D620D"/>
    <w:rsid w:val="4809399F"/>
    <w:rsid w:val="4821634B"/>
    <w:rsid w:val="48233ED1"/>
    <w:rsid w:val="48492D26"/>
    <w:rsid w:val="485A3924"/>
    <w:rsid w:val="48755DAF"/>
    <w:rsid w:val="48BA78DE"/>
    <w:rsid w:val="48C85D6E"/>
    <w:rsid w:val="48F663D3"/>
    <w:rsid w:val="49210587"/>
    <w:rsid w:val="49875FC4"/>
    <w:rsid w:val="49996F4C"/>
    <w:rsid w:val="49C219FA"/>
    <w:rsid w:val="49C60D15"/>
    <w:rsid w:val="4ACC03CD"/>
    <w:rsid w:val="4AD66954"/>
    <w:rsid w:val="4B585D31"/>
    <w:rsid w:val="4B6D7C68"/>
    <w:rsid w:val="4B917087"/>
    <w:rsid w:val="4BA972A8"/>
    <w:rsid w:val="4BEA4B47"/>
    <w:rsid w:val="4BFF5B7B"/>
    <w:rsid w:val="4C07034B"/>
    <w:rsid w:val="4C0709F5"/>
    <w:rsid w:val="4C200F8B"/>
    <w:rsid w:val="4C330FAB"/>
    <w:rsid w:val="4C3B399C"/>
    <w:rsid w:val="4C496276"/>
    <w:rsid w:val="4C5A4552"/>
    <w:rsid w:val="4C854253"/>
    <w:rsid w:val="4C904B02"/>
    <w:rsid w:val="4CB872BB"/>
    <w:rsid w:val="4CF11EEE"/>
    <w:rsid w:val="4D1C7E93"/>
    <w:rsid w:val="4D444589"/>
    <w:rsid w:val="4D6B7C28"/>
    <w:rsid w:val="4D8904A4"/>
    <w:rsid w:val="4DDF78E2"/>
    <w:rsid w:val="4EC85950"/>
    <w:rsid w:val="4ED72D19"/>
    <w:rsid w:val="4EDD7D0C"/>
    <w:rsid w:val="4F61516A"/>
    <w:rsid w:val="4F8172FD"/>
    <w:rsid w:val="4F8A3036"/>
    <w:rsid w:val="4FA865FF"/>
    <w:rsid w:val="4FD801A1"/>
    <w:rsid w:val="4FF053B2"/>
    <w:rsid w:val="5010242E"/>
    <w:rsid w:val="50234908"/>
    <w:rsid w:val="50443378"/>
    <w:rsid w:val="505A5DCF"/>
    <w:rsid w:val="506143EC"/>
    <w:rsid w:val="508D4675"/>
    <w:rsid w:val="509A51F5"/>
    <w:rsid w:val="509C2B5F"/>
    <w:rsid w:val="50B53E76"/>
    <w:rsid w:val="512D283B"/>
    <w:rsid w:val="513C714B"/>
    <w:rsid w:val="518C3438"/>
    <w:rsid w:val="518C60C3"/>
    <w:rsid w:val="51A258E6"/>
    <w:rsid w:val="51B21B9A"/>
    <w:rsid w:val="51E2195C"/>
    <w:rsid w:val="51FE4F4A"/>
    <w:rsid w:val="51FF2B94"/>
    <w:rsid w:val="524F1A4B"/>
    <w:rsid w:val="526C5AE0"/>
    <w:rsid w:val="527077C5"/>
    <w:rsid w:val="5298252C"/>
    <w:rsid w:val="52B00EB5"/>
    <w:rsid w:val="52B429A2"/>
    <w:rsid w:val="530043D4"/>
    <w:rsid w:val="53177502"/>
    <w:rsid w:val="53370A8F"/>
    <w:rsid w:val="53614BEA"/>
    <w:rsid w:val="53755B1E"/>
    <w:rsid w:val="537E6BBC"/>
    <w:rsid w:val="53AF7057"/>
    <w:rsid w:val="541C372E"/>
    <w:rsid w:val="544A055A"/>
    <w:rsid w:val="545E1779"/>
    <w:rsid w:val="547E642B"/>
    <w:rsid w:val="54917A74"/>
    <w:rsid w:val="54925BDB"/>
    <w:rsid w:val="549A0E1D"/>
    <w:rsid w:val="54B8530B"/>
    <w:rsid w:val="54EE1F62"/>
    <w:rsid w:val="551E2BAE"/>
    <w:rsid w:val="55350158"/>
    <w:rsid w:val="55BD4BB9"/>
    <w:rsid w:val="55E03E74"/>
    <w:rsid w:val="55F64EB9"/>
    <w:rsid w:val="5624604D"/>
    <w:rsid w:val="56356E99"/>
    <w:rsid w:val="565813DA"/>
    <w:rsid w:val="566754C3"/>
    <w:rsid w:val="56C51B68"/>
    <w:rsid w:val="570E5ECA"/>
    <w:rsid w:val="57905DB9"/>
    <w:rsid w:val="57934444"/>
    <w:rsid w:val="57C62458"/>
    <w:rsid w:val="581B7F1B"/>
    <w:rsid w:val="585B2F03"/>
    <w:rsid w:val="585D02BE"/>
    <w:rsid w:val="58D573FE"/>
    <w:rsid w:val="58E426EE"/>
    <w:rsid w:val="58F23B0D"/>
    <w:rsid w:val="59861162"/>
    <w:rsid w:val="599977A5"/>
    <w:rsid w:val="59B102B9"/>
    <w:rsid w:val="59FF653D"/>
    <w:rsid w:val="5A1A3BFB"/>
    <w:rsid w:val="5A427BCD"/>
    <w:rsid w:val="5A46746C"/>
    <w:rsid w:val="5A4675AB"/>
    <w:rsid w:val="5A724E72"/>
    <w:rsid w:val="5A82030A"/>
    <w:rsid w:val="5A966CFA"/>
    <w:rsid w:val="5AA575C5"/>
    <w:rsid w:val="5ADF516E"/>
    <w:rsid w:val="5B044F1C"/>
    <w:rsid w:val="5B162A0E"/>
    <w:rsid w:val="5B374935"/>
    <w:rsid w:val="5B3E7CE6"/>
    <w:rsid w:val="5B5478F6"/>
    <w:rsid w:val="5B584ADF"/>
    <w:rsid w:val="5B690A3B"/>
    <w:rsid w:val="5B75221C"/>
    <w:rsid w:val="5B975C54"/>
    <w:rsid w:val="5BA830B6"/>
    <w:rsid w:val="5BAD4574"/>
    <w:rsid w:val="5C0A47B4"/>
    <w:rsid w:val="5C191EC6"/>
    <w:rsid w:val="5C1D00AB"/>
    <w:rsid w:val="5C1F6E31"/>
    <w:rsid w:val="5C5C3E5A"/>
    <w:rsid w:val="5C651557"/>
    <w:rsid w:val="5C733038"/>
    <w:rsid w:val="5C9504B5"/>
    <w:rsid w:val="5CAF0C9F"/>
    <w:rsid w:val="5CBA713F"/>
    <w:rsid w:val="5D8C435D"/>
    <w:rsid w:val="5DC049AE"/>
    <w:rsid w:val="5DC570FA"/>
    <w:rsid w:val="5DFC50BD"/>
    <w:rsid w:val="5E17132B"/>
    <w:rsid w:val="5E245E5A"/>
    <w:rsid w:val="5E766F86"/>
    <w:rsid w:val="5E7873D2"/>
    <w:rsid w:val="5E7F37A4"/>
    <w:rsid w:val="5ECA16A2"/>
    <w:rsid w:val="5EE60184"/>
    <w:rsid w:val="5F155111"/>
    <w:rsid w:val="5F6E5954"/>
    <w:rsid w:val="5F724B4A"/>
    <w:rsid w:val="5F775C2F"/>
    <w:rsid w:val="5F8F54D4"/>
    <w:rsid w:val="5FC624C4"/>
    <w:rsid w:val="5FE67372"/>
    <w:rsid w:val="603F29D7"/>
    <w:rsid w:val="60506E5E"/>
    <w:rsid w:val="607853AD"/>
    <w:rsid w:val="607D6267"/>
    <w:rsid w:val="60A70823"/>
    <w:rsid w:val="60D05080"/>
    <w:rsid w:val="60E24E81"/>
    <w:rsid w:val="60F24C61"/>
    <w:rsid w:val="611D39E1"/>
    <w:rsid w:val="6141520A"/>
    <w:rsid w:val="616A5BED"/>
    <w:rsid w:val="61B2208C"/>
    <w:rsid w:val="61B34FA6"/>
    <w:rsid w:val="61EB5333"/>
    <w:rsid w:val="61F45F57"/>
    <w:rsid w:val="620729B2"/>
    <w:rsid w:val="622F40C2"/>
    <w:rsid w:val="623E513D"/>
    <w:rsid w:val="62837185"/>
    <w:rsid w:val="62970E65"/>
    <w:rsid w:val="62FD6475"/>
    <w:rsid w:val="63201EAD"/>
    <w:rsid w:val="633559C6"/>
    <w:rsid w:val="636309E6"/>
    <w:rsid w:val="63AA7892"/>
    <w:rsid w:val="63CF3AF0"/>
    <w:rsid w:val="63D351C8"/>
    <w:rsid w:val="63E54E9D"/>
    <w:rsid w:val="63E62B76"/>
    <w:rsid w:val="63F321D8"/>
    <w:rsid w:val="64072E1B"/>
    <w:rsid w:val="64833355"/>
    <w:rsid w:val="648F7789"/>
    <w:rsid w:val="649F5C77"/>
    <w:rsid w:val="64B435C8"/>
    <w:rsid w:val="65434131"/>
    <w:rsid w:val="654B5644"/>
    <w:rsid w:val="656D0981"/>
    <w:rsid w:val="656E0C73"/>
    <w:rsid w:val="6572086A"/>
    <w:rsid w:val="6578453C"/>
    <w:rsid w:val="657A4078"/>
    <w:rsid w:val="657B36E2"/>
    <w:rsid w:val="658F20C0"/>
    <w:rsid w:val="65AE61B0"/>
    <w:rsid w:val="65EE428B"/>
    <w:rsid w:val="65FF3A41"/>
    <w:rsid w:val="66341A1F"/>
    <w:rsid w:val="663A0E45"/>
    <w:rsid w:val="66401F54"/>
    <w:rsid w:val="665309AC"/>
    <w:rsid w:val="6678672C"/>
    <w:rsid w:val="6679092A"/>
    <w:rsid w:val="66E2035A"/>
    <w:rsid w:val="66E76C80"/>
    <w:rsid w:val="66FC4215"/>
    <w:rsid w:val="67296351"/>
    <w:rsid w:val="6777679D"/>
    <w:rsid w:val="677D7829"/>
    <w:rsid w:val="677E545D"/>
    <w:rsid w:val="67A1421E"/>
    <w:rsid w:val="67A7331D"/>
    <w:rsid w:val="67BA6B99"/>
    <w:rsid w:val="67CE33BF"/>
    <w:rsid w:val="67EB2D8A"/>
    <w:rsid w:val="67F22715"/>
    <w:rsid w:val="685933BE"/>
    <w:rsid w:val="685B2144"/>
    <w:rsid w:val="686B59D5"/>
    <w:rsid w:val="687C5C20"/>
    <w:rsid w:val="68AD08CA"/>
    <w:rsid w:val="68B44C25"/>
    <w:rsid w:val="68D333F0"/>
    <w:rsid w:val="68F0426D"/>
    <w:rsid w:val="68F34846"/>
    <w:rsid w:val="69414924"/>
    <w:rsid w:val="69434640"/>
    <w:rsid w:val="6968773F"/>
    <w:rsid w:val="69B70B3A"/>
    <w:rsid w:val="69FD72C9"/>
    <w:rsid w:val="6A031766"/>
    <w:rsid w:val="6A261999"/>
    <w:rsid w:val="6A655FCD"/>
    <w:rsid w:val="6A6C3298"/>
    <w:rsid w:val="6A8B78DC"/>
    <w:rsid w:val="6A974B63"/>
    <w:rsid w:val="6B061D23"/>
    <w:rsid w:val="6B0D7833"/>
    <w:rsid w:val="6B3453A9"/>
    <w:rsid w:val="6B674346"/>
    <w:rsid w:val="6B8D78F9"/>
    <w:rsid w:val="6BAC7A9E"/>
    <w:rsid w:val="6BC40C08"/>
    <w:rsid w:val="6BCB6DB7"/>
    <w:rsid w:val="6BE40B7D"/>
    <w:rsid w:val="6C016D57"/>
    <w:rsid w:val="6C053E44"/>
    <w:rsid w:val="6C344DF6"/>
    <w:rsid w:val="6C7517D5"/>
    <w:rsid w:val="6C776701"/>
    <w:rsid w:val="6C9F4042"/>
    <w:rsid w:val="6D206DD7"/>
    <w:rsid w:val="6D344536"/>
    <w:rsid w:val="6D3B7208"/>
    <w:rsid w:val="6D674782"/>
    <w:rsid w:val="6D7E5EAD"/>
    <w:rsid w:val="6D7F6F34"/>
    <w:rsid w:val="6D98205C"/>
    <w:rsid w:val="6DC26C9C"/>
    <w:rsid w:val="6DF542BB"/>
    <w:rsid w:val="6E426C72"/>
    <w:rsid w:val="6E930FFA"/>
    <w:rsid w:val="6EBA5637"/>
    <w:rsid w:val="6ED39730"/>
    <w:rsid w:val="6F0D38E0"/>
    <w:rsid w:val="6F46178E"/>
    <w:rsid w:val="6F4A0032"/>
    <w:rsid w:val="6F932D5B"/>
    <w:rsid w:val="6FA44753"/>
    <w:rsid w:val="6FAD2DAF"/>
    <w:rsid w:val="70621BE7"/>
    <w:rsid w:val="70AB0879"/>
    <w:rsid w:val="70DF36C3"/>
    <w:rsid w:val="70F73BEB"/>
    <w:rsid w:val="70FE3BEF"/>
    <w:rsid w:val="71005DAE"/>
    <w:rsid w:val="7138344C"/>
    <w:rsid w:val="71846C93"/>
    <w:rsid w:val="71926AE0"/>
    <w:rsid w:val="71CC3CC0"/>
    <w:rsid w:val="71EB4575"/>
    <w:rsid w:val="71EBBCFD"/>
    <w:rsid w:val="71EC3DA3"/>
    <w:rsid w:val="72127EF3"/>
    <w:rsid w:val="721372BA"/>
    <w:rsid w:val="72200698"/>
    <w:rsid w:val="72434C03"/>
    <w:rsid w:val="7254229B"/>
    <w:rsid w:val="72682BD3"/>
    <w:rsid w:val="72960E2A"/>
    <w:rsid w:val="72C15798"/>
    <w:rsid w:val="72CC3862"/>
    <w:rsid w:val="72EC0594"/>
    <w:rsid w:val="72EE65FE"/>
    <w:rsid w:val="73185EE0"/>
    <w:rsid w:val="73345220"/>
    <w:rsid w:val="7334642C"/>
    <w:rsid w:val="73711DF2"/>
    <w:rsid w:val="73746B26"/>
    <w:rsid w:val="7375655F"/>
    <w:rsid w:val="7381208C"/>
    <w:rsid w:val="738B138D"/>
    <w:rsid w:val="73A179D9"/>
    <w:rsid w:val="73AD6712"/>
    <w:rsid w:val="73B1260C"/>
    <w:rsid w:val="73D51B16"/>
    <w:rsid w:val="73DE6C16"/>
    <w:rsid w:val="73E436E6"/>
    <w:rsid w:val="73ED8389"/>
    <w:rsid w:val="73F60650"/>
    <w:rsid w:val="74896263"/>
    <w:rsid w:val="748B1BB5"/>
    <w:rsid w:val="74A6041A"/>
    <w:rsid w:val="74AA0F03"/>
    <w:rsid w:val="74B72109"/>
    <w:rsid w:val="74BE5317"/>
    <w:rsid w:val="75144A21"/>
    <w:rsid w:val="75282A22"/>
    <w:rsid w:val="75A9488B"/>
    <w:rsid w:val="75C46E2A"/>
    <w:rsid w:val="7621715D"/>
    <w:rsid w:val="76353BFF"/>
    <w:rsid w:val="765B68C0"/>
    <w:rsid w:val="766D39EC"/>
    <w:rsid w:val="771345CC"/>
    <w:rsid w:val="77390E23"/>
    <w:rsid w:val="775E2934"/>
    <w:rsid w:val="77A919FD"/>
    <w:rsid w:val="77BF80EE"/>
    <w:rsid w:val="77FA4736"/>
    <w:rsid w:val="78075FA6"/>
    <w:rsid w:val="78355755"/>
    <w:rsid w:val="78391D4B"/>
    <w:rsid w:val="783F3C54"/>
    <w:rsid w:val="786060C6"/>
    <w:rsid w:val="78956BE1"/>
    <w:rsid w:val="78AE1D0A"/>
    <w:rsid w:val="78AF778B"/>
    <w:rsid w:val="78CE2454"/>
    <w:rsid w:val="78FF0DA4"/>
    <w:rsid w:val="7929757D"/>
    <w:rsid w:val="79540833"/>
    <w:rsid w:val="7956473D"/>
    <w:rsid w:val="79EC4EBC"/>
    <w:rsid w:val="79F77CCE"/>
    <w:rsid w:val="7A2F6982"/>
    <w:rsid w:val="7A4E7237"/>
    <w:rsid w:val="7A6648DE"/>
    <w:rsid w:val="7A6A54E3"/>
    <w:rsid w:val="7AD976F4"/>
    <w:rsid w:val="7ADA3E8C"/>
    <w:rsid w:val="7AEC0858"/>
    <w:rsid w:val="7B0E2374"/>
    <w:rsid w:val="7B1F1FDD"/>
    <w:rsid w:val="7B256785"/>
    <w:rsid w:val="7B340AAD"/>
    <w:rsid w:val="7B5F7402"/>
    <w:rsid w:val="7B652283"/>
    <w:rsid w:val="7B662154"/>
    <w:rsid w:val="7B7254CC"/>
    <w:rsid w:val="7B881E48"/>
    <w:rsid w:val="7BA81BF0"/>
    <w:rsid w:val="7BAB0947"/>
    <w:rsid w:val="7BE6482E"/>
    <w:rsid w:val="7C09750D"/>
    <w:rsid w:val="7C2E6872"/>
    <w:rsid w:val="7C9050A7"/>
    <w:rsid w:val="7CCB7435"/>
    <w:rsid w:val="7CE1709A"/>
    <w:rsid w:val="7CF81F85"/>
    <w:rsid w:val="7CFA57C2"/>
    <w:rsid w:val="7CFB54DF"/>
    <w:rsid w:val="7D236F67"/>
    <w:rsid w:val="7D990F1D"/>
    <w:rsid w:val="7DFA4D72"/>
    <w:rsid w:val="7E044CC7"/>
    <w:rsid w:val="7E723440"/>
    <w:rsid w:val="7E8843C9"/>
    <w:rsid w:val="7E885F81"/>
    <w:rsid w:val="7F031657"/>
    <w:rsid w:val="7F2E69E7"/>
    <w:rsid w:val="7F78012E"/>
    <w:rsid w:val="7F843F41"/>
    <w:rsid w:val="7FA2354D"/>
    <w:rsid w:val="7FAA31F0"/>
    <w:rsid w:val="7FABB512"/>
    <w:rsid w:val="7FAF34E4"/>
    <w:rsid w:val="7FC43F12"/>
    <w:rsid w:val="7FDE1772"/>
    <w:rsid w:val="7FFF5C30"/>
    <w:rsid w:val="C7DEF79D"/>
    <w:rsid w:val="D6EB9D4E"/>
    <w:rsid w:val="DF7CB9DB"/>
    <w:rsid w:val="E57F8466"/>
    <w:rsid w:val="F7CD4ED6"/>
    <w:rsid w:val="FAFF7C88"/>
    <w:rsid w:val="FBEBA070"/>
    <w:rsid w:val="FE5645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39" w:semiHidden="0" w:name="Table Grid"/>
    <w:lsdException w:uiPriority="0"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96"/>
    <w:qFormat/>
    <w:uiPriority w:val="0"/>
    <w:pPr>
      <w:keepNext/>
      <w:spacing w:line="360" w:lineRule="auto"/>
      <w:jc w:val="center"/>
      <w:outlineLvl w:val="0"/>
    </w:pPr>
    <w:rPr>
      <w:b/>
      <w:color w:val="000000"/>
      <w:sz w:val="32"/>
    </w:rPr>
  </w:style>
  <w:style w:type="paragraph" w:styleId="4">
    <w:name w:val="heading 2"/>
    <w:basedOn w:val="1"/>
    <w:next w:val="1"/>
    <w:link w:val="197"/>
    <w:qFormat/>
    <w:uiPriority w:val="0"/>
    <w:pPr>
      <w:keepNext/>
      <w:keepLines/>
      <w:spacing w:line="360" w:lineRule="auto"/>
      <w:ind w:firstLine="200" w:firstLineChars="200"/>
      <w:outlineLvl w:val="1"/>
    </w:pPr>
    <w:rPr>
      <w:rFonts w:ascii="Arial" w:hAnsi="Arial"/>
      <w:b/>
      <w:bCs/>
      <w:szCs w:val="32"/>
    </w:rPr>
  </w:style>
  <w:style w:type="paragraph" w:styleId="5">
    <w:name w:val="heading 3"/>
    <w:basedOn w:val="1"/>
    <w:next w:val="1"/>
    <w:link w:val="198"/>
    <w:qFormat/>
    <w:uiPriority w:val="0"/>
    <w:pPr>
      <w:widowControl/>
      <w:autoSpaceDE w:val="0"/>
      <w:autoSpaceDN w:val="0"/>
      <w:spacing w:before="120" w:after="120" w:line="300" w:lineRule="auto"/>
      <w:outlineLvl w:val="2"/>
    </w:pPr>
    <w:rPr>
      <w:sz w:val="24"/>
      <w:szCs w:val="20"/>
    </w:rPr>
  </w:style>
  <w:style w:type="paragraph" w:styleId="6">
    <w:name w:val="heading 4"/>
    <w:basedOn w:val="1"/>
    <w:next w:val="1"/>
    <w:link w:val="199"/>
    <w:qFormat/>
    <w:uiPriority w:val="9"/>
    <w:pPr>
      <w:keepNext/>
      <w:keepLines/>
      <w:spacing w:before="280" w:after="290" w:line="376" w:lineRule="auto"/>
      <w:outlineLvl w:val="3"/>
    </w:pPr>
    <w:rPr>
      <w:rFonts w:ascii="Cambria" w:hAnsi="Cambria"/>
      <w:b/>
      <w:bCs/>
      <w:sz w:val="28"/>
      <w:szCs w:val="28"/>
    </w:rPr>
  </w:style>
  <w:style w:type="paragraph" w:styleId="7">
    <w:name w:val="heading 5"/>
    <w:basedOn w:val="1"/>
    <w:next w:val="1"/>
    <w:link w:val="200"/>
    <w:qFormat/>
    <w:uiPriority w:val="9"/>
    <w:pPr>
      <w:keepNext/>
      <w:keepLines/>
      <w:spacing w:before="280" w:after="290" w:line="376" w:lineRule="auto"/>
      <w:outlineLvl w:val="4"/>
    </w:pPr>
    <w:rPr>
      <w:b/>
      <w:bCs/>
      <w:sz w:val="28"/>
      <w:szCs w:val="28"/>
    </w:rPr>
  </w:style>
  <w:style w:type="paragraph" w:styleId="8">
    <w:name w:val="heading 6"/>
    <w:basedOn w:val="1"/>
    <w:next w:val="1"/>
    <w:link w:val="201"/>
    <w:qFormat/>
    <w:uiPriority w:val="9"/>
    <w:pPr>
      <w:keepNext/>
      <w:keepLines/>
      <w:spacing w:before="240" w:after="64" w:line="320" w:lineRule="auto"/>
      <w:ind w:left="1152" w:hanging="1152"/>
      <w:outlineLvl w:val="5"/>
    </w:pPr>
    <w:rPr>
      <w:rFonts w:ascii="Cambria" w:hAnsi="Cambria"/>
      <w:b/>
      <w:bCs/>
      <w:sz w:val="24"/>
    </w:rPr>
  </w:style>
  <w:style w:type="paragraph" w:styleId="9">
    <w:name w:val="heading 7"/>
    <w:basedOn w:val="1"/>
    <w:next w:val="1"/>
    <w:link w:val="202"/>
    <w:qFormat/>
    <w:uiPriority w:val="9"/>
    <w:pPr>
      <w:keepNext/>
      <w:keepLines/>
      <w:spacing w:before="240" w:after="64" w:line="320" w:lineRule="auto"/>
      <w:ind w:left="1296" w:hanging="1296"/>
      <w:outlineLvl w:val="6"/>
    </w:pPr>
    <w:rPr>
      <w:b/>
      <w:bCs/>
      <w:sz w:val="24"/>
    </w:rPr>
  </w:style>
  <w:style w:type="paragraph" w:styleId="10">
    <w:name w:val="heading 8"/>
    <w:basedOn w:val="1"/>
    <w:next w:val="1"/>
    <w:link w:val="203"/>
    <w:qFormat/>
    <w:uiPriority w:val="9"/>
    <w:pPr>
      <w:keepNext/>
      <w:keepLines/>
      <w:spacing w:before="240" w:after="64" w:line="320" w:lineRule="auto"/>
      <w:ind w:left="1440" w:hanging="1440"/>
      <w:outlineLvl w:val="7"/>
    </w:pPr>
    <w:rPr>
      <w:rFonts w:ascii="Cambria" w:hAnsi="Cambria"/>
      <w:sz w:val="24"/>
    </w:rPr>
  </w:style>
  <w:style w:type="paragraph" w:styleId="11">
    <w:name w:val="heading 9"/>
    <w:basedOn w:val="1"/>
    <w:next w:val="1"/>
    <w:link w:val="204"/>
    <w:qFormat/>
    <w:uiPriority w:val="9"/>
    <w:pPr>
      <w:keepNext/>
      <w:keepLines/>
      <w:spacing w:before="240" w:after="64" w:line="320" w:lineRule="auto"/>
      <w:ind w:left="1584" w:hanging="1584"/>
      <w:outlineLvl w:val="8"/>
    </w:pPr>
    <w:rPr>
      <w:rFonts w:ascii="Cambria" w:hAnsi="Cambria"/>
      <w:sz w:val="24"/>
      <w:szCs w:val="21"/>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customStyle="1" w:styleId="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styleId="12">
    <w:name w:val="List 3"/>
    <w:basedOn w:val="1"/>
    <w:qFormat/>
    <w:uiPriority w:val="0"/>
    <w:pPr>
      <w:ind w:left="100" w:leftChars="400" w:hanging="200" w:hangingChars="200"/>
    </w:pPr>
    <w:rPr>
      <w:szCs w:val="20"/>
    </w:rPr>
  </w:style>
  <w:style w:type="paragraph" w:styleId="13">
    <w:name w:val="toc 7"/>
    <w:basedOn w:val="1"/>
    <w:next w:val="1"/>
    <w:qFormat/>
    <w:uiPriority w:val="39"/>
    <w:pPr>
      <w:ind w:left="1260"/>
      <w:jc w:val="left"/>
    </w:pPr>
    <w:rPr>
      <w:sz w:val="18"/>
      <w:szCs w:val="18"/>
    </w:rPr>
  </w:style>
  <w:style w:type="paragraph" w:styleId="14">
    <w:name w:val="Normal Indent"/>
    <w:basedOn w:val="1"/>
    <w:link w:val="195"/>
    <w:qFormat/>
    <w:uiPriority w:val="0"/>
    <w:pPr>
      <w:ind w:firstLine="420" w:firstLineChars="200"/>
    </w:pPr>
  </w:style>
  <w:style w:type="paragraph" w:styleId="15">
    <w:name w:val="Document Map"/>
    <w:basedOn w:val="1"/>
    <w:link w:val="205"/>
    <w:qFormat/>
    <w:uiPriority w:val="99"/>
    <w:pPr>
      <w:shd w:val="clear" w:color="auto" w:fill="000080"/>
    </w:pPr>
  </w:style>
  <w:style w:type="paragraph" w:styleId="16">
    <w:name w:val="toa heading"/>
    <w:basedOn w:val="1"/>
    <w:next w:val="1"/>
    <w:unhideWhenUsed/>
    <w:qFormat/>
    <w:uiPriority w:val="0"/>
    <w:pPr>
      <w:tabs>
        <w:tab w:val="left" w:pos="0"/>
      </w:tabs>
      <w:spacing w:before="120"/>
    </w:pPr>
    <w:rPr>
      <w:rFonts w:ascii="Arial" w:hAnsi="Arial"/>
      <w:b/>
    </w:rPr>
  </w:style>
  <w:style w:type="paragraph" w:styleId="17">
    <w:name w:val="annotation text"/>
    <w:basedOn w:val="1"/>
    <w:link w:val="206"/>
    <w:qFormat/>
    <w:uiPriority w:val="99"/>
    <w:pPr>
      <w:jc w:val="left"/>
    </w:pPr>
    <w:rPr>
      <w:szCs w:val="20"/>
    </w:rPr>
  </w:style>
  <w:style w:type="paragraph" w:styleId="18">
    <w:name w:val="Body Text 3"/>
    <w:basedOn w:val="1"/>
    <w:link w:val="207"/>
    <w:qFormat/>
    <w:uiPriority w:val="0"/>
    <w:pPr>
      <w:spacing w:line="440" w:lineRule="atLeast"/>
      <w:jc w:val="center"/>
    </w:pPr>
    <w:rPr>
      <w:rFonts w:ascii="楷体_GB2312" w:eastAsia="楷体_GB2312"/>
      <w:b/>
      <w:color w:val="000000"/>
      <w:sz w:val="30"/>
    </w:rPr>
  </w:style>
  <w:style w:type="paragraph" w:styleId="19">
    <w:name w:val="Body Text"/>
    <w:basedOn w:val="1"/>
    <w:link w:val="208"/>
    <w:qFormat/>
    <w:uiPriority w:val="0"/>
    <w:pPr>
      <w:spacing w:after="120"/>
    </w:pPr>
  </w:style>
  <w:style w:type="paragraph" w:styleId="20">
    <w:name w:val="Body Text Indent"/>
    <w:basedOn w:val="1"/>
    <w:next w:val="1"/>
    <w:link w:val="210"/>
    <w:qFormat/>
    <w:uiPriority w:val="99"/>
    <w:pPr>
      <w:widowControl/>
      <w:autoSpaceDE w:val="0"/>
      <w:autoSpaceDN w:val="0"/>
      <w:snapToGrid w:val="0"/>
      <w:spacing w:before="120" w:line="400" w:lineRule="atLeast"/>
      <w:ind w:firstLine="570"/>
      <w:textAlignment w:val="bottom"/>
    </w:pPr>
    <w:rPr>
      <w:rFonts w:ascii="宋体"/>
      <w:kern w:val="0"/>
      <w:sz w:val="24"/>
      <w:szCs w:val="20"/>
    </w:rPr>
  </w:style>
  <w:style w:type="paragraph" w:styleId="21">
    <w:name w:val="List 2"/>
    <w:basedOn w:val="1"/>
    <w:qFormat/>
    <w:uiPriority w:val="0"/>
    <w:pPr>
      <w:ind w:left="100" w:leftChars="200" w:hanging="200" w:hangingChars="200"/>
    </w:pPr>
  </w:style>
  <w:style w:type="paragraph" w:styleId="22">
    <w:name w:val="toc 5"/>
    <w:basedOn w:val="1"/>
    <w:next w:val="1"/>
    <w:qFormat/>
    <w:uiPriority w:val="39"/>
    <w:pPr>
      <w:ind w:left="840"/>
      <w:jc w:val="left"/>
    </w:pPr>
    <w:rPr>
      <w:sz w:val="18"/>
      <w:szCs w:val="18"/>
    </w:rPr>
  </w:style>
  <w:style w:type="paragraph" w:styleId="23">
    <w:name w:val="toc 3"/>
    <w:basedOn w:val="1"/>
    <w:next w:val="1"/>
    <w:qFormat/>
    <w:uiPriority w:val="39"/>
    <w:pPr>
      <w:ind w:left="420"/>
      <w:jc w:val="left"/>
    </w:pPr>
    <w:rPr>
      <w:i/>
      <w:iCs/>
      <w:sz w:val="20"/>
      <w:szCs w:val="20"/>
    </w:rPr>
  </w:style>
  <w:style w:type="paragraph" w:styleId="24">
    <w:name w:val="Plain Text"/>
    <w:basedOn w:val="1"/>
    <w:next w:val="1"/>
    <w:link w:val="211"/>
    <w:qFormat/>
    <w:uiPriority w:val="0"/>
    <w:rPr>
      <w:rFonts w:ascii="宋体" w:hAnsi="Courier New"/>
      <w:szCs w:val="20"/>
    </w:rPr>
  </w:style>
  <w:style w:type="paragraph" w:styleId="25">
    <w:name w:val="toc 8"/>
    <w:basedOn w:val="1"/>
    <w:next w:val="1"/>
    <w:qFormat/>
    <w:uiPriority w:val="39"/>
    <w:pPr>
      <w:ind w:left="1470"/>
      <w:jc w:val="left"/>
    </w:pPr>
    <w:rPr>
      <w:sz w:val="18"/>
      <w:szCs w:val="18"/>
    </w:rPr>
  </w:style>
  <w:style w:type="paragraph" w:styleId="26">
    <w:name w:val="Date"/>
    <w:basedOn w:val="1"/>
    <w:next w:val="1"/>
    <w:link w:val="212"/>
    <w:qFormat/>
    <w:uiPriority w:val="0"/>
    <w:pPr>
      <w:ind w:left="100" w:leftChars="2500"/>
    </w:pPr>
    <w:rPr>
      <w:color w:val="000000"/>
      <w:sz w:val="24"/>
    </w:rPr>
  </w:style>
  <w:style w:type="paragraph" w:styleId="27">
    <w:name w:val="Body Text Indent 2"/>
    <w:basedOn w:val="1"/>
    <w:link w:val="213"/>
    <w:qFormat/>
    <w:uiPriority w:val="0"/>
    <w:pPr>
      <w:widowControl/>
      <w:spacing w:line="480" w:lineRule="atLeast"/>
      <w:ind w:firstLine="480"/>
    </w:pPr>
    <w:rPr>
      <w:rFonts w:ascii="宋体"/>
      <w:kern w:val="0"/>
      <w:sz w:val="24"/>
      <w:szCs w:val="20"/>
    </w:rPr>
  </w:style>
  <w:style w:type="paragraph" w:styleId="28">
    <w:name w:val="Balloon Text"/>
    <w:basedOn w:val="1"/>
    <w:link w:val="214"/>
    <w:qFormat/>
    <w:uiPriority w:val="99"/>
    <w:rPr>
      <w:sz w:val="18"/>
      <w:szCs w:val="18"/>
    </w:rPr>
  </w:style>
  <w:style w:type="paragraph" w:styleId="29">
    <w:name w:val="footer"/>
    <w:basedOn w:val="1"/>
    <w:link w:val="215"/>
    <w:qFormat/>
    <w:uiPriority w:val="99"/>
    <w:pPr>
      <w:tabs>
        <w:tab w:val="center" w:pos="4153"/>
        <w:tab w:val="right" w:pos="8306"/>
      </w:tabs>
      <w:snapToGrid w:val="0"/>
      <w:jc w:val="left"/>
    </w:pPr>
    <w:rPr>
      <w:sz w:val="18"/>
      <w:szCs w:val="18"/>
    </w:rPr>
  </w:style>
  <w:style w:type="paragraph" w:styleId="30">
    <w:name w:val="header"/>
    <w:basedOn w:val="1"/>
    <w:link w:val="216"/>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tabs>
        <w:tab w:val="right" w:leader="dot" w:pos="9403"/>
      </w:tabs>
      <w:snapToGrid w:val="0"/>
      <w:spacing w:line="360" w:lineRule="auto"/>
    </w:pPr>
    <w:rPr>
      <w:b/>
      <w:bCs/>
      <w:caps/>
    </w:rPr>
  </w:style>
  <w:style w:type="paragraph" w:styleId="32">
    <w:name w:val="toc 4"/>
    <w:basedOn w:val="1"/>
    <w:next w:val="1"/>
    <w:qFormat/>
    <w:uiPriority w:val="39"/>
    <w:pPr>
      <w:ind w:left="630"/>
      <w:jc w:val="left"/>
    </w:pPr>
    <w:rPr>
      <w:sz w:val="18"/>
      <w:szCs w:val="18"/>
    </w:rPr>
  </w:style>
  <w:style w:type="paragraph" w:styleId="33">
    <w:name w:val="Subtitle"/>
    <w:basedOn w:val="1"/>
    <w:next w:val="1"/>
    <w:link w:val="217"/>
    <w:qFormat/>
    <w:uiPriority w:val="0"/>
    <w:pPr>
      <w:spacing w:before="240" w:after="60" w:line="312" w:lineRule="auto"/>
      <w:jc w:val="center"/>
      <w:outlineLvl w:val="1"/>
    </w:pPr>
    <w:rPr>
      <w:rFonts w:ascii="Cambria" w:hAnsi="Cambria"/>
      <w:b/>
      <w:bCs/>
      <w:kern w:val="28"/>
      <w:sz w:val="32"/>
      <w:szCs w:val="32"/>
    </w:rPr>
  </w:style>
  <w:style w:type="paragraph" w:styleId="34">
    <w:name w:val="List"/>
    <w:basedOn w:val="1"/>
    <w:qFormat/>
    <w:uiPriority w:val="0"/>
    <w:pPr>
      <w:ind w:left="200" w:hanging="200" w:hangingChars="200"/>
    </w:pPr>
  </w:style>
  <w:style w:type="paragraph" w:styleId="35">
    <w:name w:val="toc 6"/>
    <w:basedOn w:val="1"/>
    <w:next w:val="1"/>
    <w:qFormat/>
    <w:uiPriority w:val="39"/>
    <w:pPr>
      <w:ind w:left="1050"/>
      <w:jc w:val="left"/>
    </w:pPr>
    <w:rPr>
      <w:sz w:val="18"/>
      <w:szCs w:val="18"/>
    </w:rPr>
  </w:style>
  <w:style w:type="paragraph" w:styleId="36">
    <w:name w:val="List 5"/>
    <w:basedOn w:val="1"/>
    <w:qFormat/>
    <w:uiPriority w:val="0"/>
    <w:pPr>
      <w:ind w:left="100" w:leftChars="800" w:hanging="200" w:hangingChars="200"/>
    </w:pPr>
    <w:rPr>
      <w:szCs w:val="20"/>
    </w:rPr>
  </w:style>
  <w:style w:type="paragraph" w:styleId="37">
    <w:name w:val="Body Text Indent 3"/>
    <w:basedOn w:val="1"/>
    <w:link w:val="218"/>
    <w:qFormat/>
    <w:uiPriority w:val="0"/>
    <w:pPr>
      <w:autoSpaceDE w:val="0"/>
      <w:autoSpaceDN w:val="0"/>
      <w:spacing w:line="400" w:lineRule="atLeast"/>
      <w:ind w:firstLine="443" w:firstLineChars="200"/>
      <w:textAlignment w:val="bottom"/>
    </w:pPr>
    <w:rPr>
      <w:rFonts w:eastAsia="黑体"/>
      <w:color w:val="000000"/>
      <w:sz w:val="24"/>
    </w:rPr>
  </w:style>
  <w:style w:type="paragraph" w:styleId="38">
    <w:name w:val="toc 2"/>
    <w:basedOn w:val="1"/>
    <w:next w:val="1"/>
    <w:qFormat/>
    <w:uiPriority w:val="39"/>
    <w:pPr>
      <w:tabs>
        <w:tab w:val="right" w:leader="dot" w:pos="9403"/>
      </w:tabs>
      <w:snapToGrid w:val="0"/>
      <w:spacing w:line="360" w:lineRule="auto"/>
      <w:ind w:firstLine="200" w:firstLineChars="200"/>
    </w:pPr>
    <w:rPr>
      <w:smallCaps/>
    </w:rPr>
  </w:style>
  <w:style w:type="paragraph" w:styleId="39">
    <w:name w:val="toc 9"/>
    <w:basedOn w:val="1"/>
    <w:next w:val="1"/>
    <w:qFormat/>
    <w:uiPriority w:val="39"/>
    <w:pPr>
      <w:ind w:left="1680"/>
      <w:jc w:val="left"/>
    </w:pPr>
    <w:rPr>
      <w:sz w:val="18"/>
      <w:szCs w:val="18"/>
    </w:rPr>
  </w:style>
  <w:style w:type="paragraph" w:styleId="40">
    <w:name w:val="Body Text 2"/>
    <w:basedOn w:val="1"/>
    <w:link w:val="209"/>
    <w:qFormat/>
    <w:uiPriority w:val="0"/>
    <w:rPr>
      <w:b/>
      <w:bCs/>
      <w:color w:val="000000"/>
      <w:sz w:val="28"/>
    </w:rPr>
  </w:style>
  <w:style w:type="paragraph" w:styleId="41">
    <w:name w:val="List 4"/>
    <w:basedOn w:val="1"/>
    <w:qFormat/>
    <w:uiPriority w:val="0"/>
    <w:pPr>
      <w:ind w:left="100" w:leftChars="600" w:hanging="200" w:hangingChars="200"/>
    </w:pPr>
    <w:rPr>
      <w:szCs w:val="20"/>
    </w:rPr>
  </w:style>
  <w:style w:type="paragraph" w:styleId="42">
    <w:name w:val="HTML Preformatted"/>
    <w:basedOn w:val="1"/>
    <w:link w:val="21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kern w:val="0"/>
      <w:sz w:val="24"/>
    </w:rPr>
  </w:style>
  <w:style w:type="paragraph" w:styleId="44">
    <w:name w:val="index 1"/>
    <w:basedOn w:val="1"/>
    <w:next w:val="1"/>
    <w:qFormat/>
    <w:uiPriority w:val="0"/>
    <w:pPr>
      <w:widowControl/>
      <w:spacing w:line="360" w:lineRule="auto"/>
      <w:jc w:val="center"/>
    </w:pPr>
    <w:rPr>
      <w:rFonts w:ascii="Arial" w:hAnsi="Arial" w:cs="Arial"/>
      <w:kern w:val="0"/>
      <w:sz w:val="24"/>
    </w:rPr>
  </w:style>
  <w:style w:type="paragraph" w:styleId="45">
    <w:name w:val="Title"/>
    <w:basedOn w:val="1"/>
    <w:link w:val="220"/>
    <w:qFormat/>
    <w:uiPriority w:val="0"/>
    <w:pPr>
      <w:jc w:val="center"/>
    </w:pPr>
    <w:rPr>
      <w:sz w:val="30"/>
    </w:rPr>
  </w:style>
  <w:style w:type="paragraph" w:styleId="46">
    <w:name w:val="annotation subject"/>
    <w:basedOn w:val="17"/>
    <w:next w:val="17"/>
    <w:link w:val="221"/>
    <w:qFormat/>
    <w:uiPriority w:val="99"/>
    <w:rPr>
      <w:b/>
      <w:bCs/>
    </w:rPr>
  </w:style>
  <w:style w:type="paragraph" w:styleId="47">
    <w:name w:val="Body Text First Indent"/>
    <w:basedOn w:val="19"/>
    <w:link w:val="222"/>
    <w:qFormat/>
    <w:uiPriority w:val="0"/>
    <w:pPr>
      <w:ind w:firstLine="420" w:firstLineChars="100"/>
    </w:pPr>
    <w:rPr>
      <w:szCs w:val="20"/>
    </w:rPr>
  </w:style>
  <w:style w:type="table" w:styleId="49">
    <w:name w:val="Table Grid"/>
    <w:basedOn w:val="4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Strong"/>
    <w:qFormat/>
    <w:uiPriority w:val="0"/>
    <w:rPr>
      <w:b/>
    </w:rPr>
  </w:style>
  <w:style w:type="character" w:styleId="52">
    <w:name w:val="page number"/>
    <w:qFormat/>
    <w:uiPriority w:val="0"/>
    <w:rPr>
      <w:rFonts w:eastAsia="Arial"/>
    </w:rPr>
  </w:style>
  <w:style w:type="character" w:styleId="53">
    <w:name w:val="FollowedHyperlink"/>
    <w:qFormat/>
    <w:uiPriority w:val="99"/>
    <w:rPr>
      <w:color w:val="800080"/>
      <w:u w:val="single"/>
    </w:rPr>
  </w:style>
  <w:style w:type="character" w:styleId="54">
    <w:name w:val="Emphasis"/>
    <w:qFormat/>
    <w:uiPriority w:val="0"/>
    <w:rPr>
      <w:color w:val="CC0033"/>
    </w:rPr>
  </w:style>
  <w:style w:type="character" w:styleId="55">
    <w:name w:val="Hyperlink"/>
    <w:qFormat/>
    <w:uiPriority w:val="99"/>
    <w:rPr>
      <w:color w:val="0000FF"/>
      <w:u w:val="single"/>
    </w:rPr>
  </w:style>
  <w:style w:type="character" w:styleId="56">
    <w:name w:val="annotation reference"/>
    <w:qFormat/>
    <w:uiPriority w:val="99"/>
    <w:rPr>
      <w:sz w:val="21"/>
      <w:szCs w:val="21"/>
    </w:rPr>
  </w:style>
  <w:style w:type="paragraph" w:customStyle="1" w:styleId="57">
    <w:name w:val="Default"/>
    <w:unhideWhenUsed/>
    <w:qFormat/>
    <w:uiPriority w:val="0"/>
    <w:pPr>
      <w:widowControl w:val="0"/>
      <w:autoSpaceDE w:val="0"/>
      <w:autoSpaceDN w:val="0"/>
      <w:adjustRightInd w:val="0"/>
    </w:pPr>
    <w:rPr>
      <w:rFonts w:hint="eastAsia" w:ascii="宋体" w:hAnsi="宋体" w:eastAsia="宋体" w:cs="Times New Roman"/>
      <w:color w:val="000000"/>
      <w:sz w:val="24"/>
      <w:szCs w:val="22"/>
      <w:lang w:val="en-US" w:eastAsia="zh-CN" w:bidi="ar-SA"/>
    </w:rPr>
  </w:style>
  <w:style w:type="paragraph" w:customStyle="1" w:styleId="58">
    <w:name w:val="标题 2_0"/>
    <w:basedOn w:val="59"/>
    <w:next w:val="59"/>
    <w:link w:val="223"/>
    <w:unhideWhenUsed/>
    <w:qFormat/>
    <w:uiPriority w:val="0"/>
    <w:pPr>
      <w:keepNext/>
      <w:keepLines/>
      <w:spacing w:before="260" w:after="260" w:line="415" w:lineRule="auto"/>
      <w:outlineLvl w:val="1"/>
    </w:pPr>
    <w:rPr>
      <w:rFonts w:ascii="Cambria" w:hAnsi="Cambria"/>
      <w:b/>
      <w:bCs/>
      <w:sz w:val="32"/>
      <w:szCs w:val="32"/>
    </w:rPr>
  </w:style>
  <w:style w:type="paragraph" w:customStyle="1" w:styleId="59">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0">
    <w:name w:val="正文文本缩进_0"/>
    <w:basedOn w:val="59"/>
    <w:link w:val="229"/>
    <w:unhideWhenUsed/>
    <w:qFormat/>
    <w:uiPriority w:val="0"/>
    <w:pPr>
      <w:spacing w:after="120"/>
      <w:ind w:left="420" w:leftChars="200"/>
    </w:pPr>
  </w:style>
  <w:style w:type="paragraph" w:customStyle="1" w:styleId="61">
    <w:name w:val="纯文本_0"/>
    <w:basedOn w:val="59"/>
    <w:link w:val="233"/>
    <w:qFormat/>
    <w:uiPriority w:val="0"/>
    <w:rPr>
      <w:rFonts w:ascii="宋体" w:hAnsi="Courier New"/>
      <w:szCs w:val="21"/>
    </w:rPr>
  </w:style>
  <w:style w:type="paragraph" w:customStyle="1" w:styleId="62">
    <w:name w:val="彩色列表 - 强调文字颜色 11"/>
    <w:basedOn w:val="1"/>
    <w:link w:val="236"/>
    <w:qFormat/>
    <w:uiPriority w:val="0"/>
    <w:pPr>
      <w:ind w:firstLine="420" w:firstLineChars="200"/>
    </w:pPr>
  </w:style>
  <w:style w:type="paragraph" w:customStyle="1" w:styleId="63">
    <w:name w:val="样式1"/>
    <w:basedOn w:val="1"/>
    <w:link w:val="237"/>
    <w:qFormat/>
    <w:uiPriority w:val="0"/>
    <w:pPr>
      <w:spacing w:line="360" w:lineRule="exact"/>
      <w:ind w:firstLine="200" w:firstLineChars="200"/>
    </w:pPr>
    <w:rPr>
      <w:rFonts w:ascii="Arial" w:hAnsi="Arial"/>
    </w:rPr>
  </w:style>
  <w:style w:type="paragraph" w:customStyle="1" w:styleId="64">
    <w:name w:val="标准文本"/>
    <w:basedOn w:val="1"/>
    <w:link w:val="244"/>
    <w:qFormat/>
    <w:uiPriority w:val="99"/>
    <w:pPr>
      <w:spacing w:line="360" w:lineRule="auto"/>
      <w:ind w:firstLine="480"/>
    </w:pPr>
    <w:rPr>
      <w:szCs w:val="21"/>
    </w:rPr>
  </w:style>
  <w:style w:type="paragraph" w:styleId="65">
    <w:name w:val="No Spacing"/>
    <w:link w:val="245"/>
    <w:qFormat/>
    <w:uiPriority w:val="1"/>
    <w:rPr>
      <w:rFonts w:ascii="Times New Roman" w:hAnsi="Times New Roman" w:eastAsia="宋体" w:cs="Times New Roman"/>
      <w:sz w:val="22"/>
      <w:szCs w:val="22"/>
      <w:lang w:val="en-US" w:eastAsia="zh-CN" w:bidi="ar-SA"/>
    </w:rPr>
  </w:style>
  <w:style w:type="paragraph" w:customStyle="1" w:styleId="66">
    <w:name w:val="Char"/>
    <w:basedOn w:val="30"/>
    <w:next w:val="30"/>
    <w:link w:val="249"/>
    <w:qFormat/>
    <w:uiPriority w:val="0"/>
    <w:pPr>
      <w:snapToGrid/>
      <w:jc w:val="right"/>
    </w:pPr>
    <w:rPr>
      <w:rFonts w:ascii="宋体" w:hAnsi="宋体"/>
      <w:b/>
      <w:sz w:val="21"/>
      <w:szCs w:val="21"/>
    </w:rPr>
  </w:style>
  <w:style w:type="paragraph" w:customStyle="1" w:styleId="67">
    <w:name w:val="列出段落1"/>
    <w:basedOn w:val="1"/>
    <w:link w:val="250"/>
    <w:qFormat/>
    <w:uiPriority w:val="34"/>
    <w:pPr>
      <w:ind w:firstLine="420" w:firstLineChars="200"/>
    </w:pPr>
  </w:style>
  <w:style w:type="paragraph" w:customStyle="1" w:styleId="68">
    <w:name w:val="自定义正文"/>
    <w:basedOn w:val="1"/>
    <w:link w:val="252"/>
    <w:qFormat/>
    <w:uiPriority w:val="0"/>
    <w:pPr>
      <w:spacing w:before="120" w:after="60" w:line="400" w:lineRule="exact"/>
      <w:ind w:firstLine="200" w:firstLineChars="200"/>
      <w:jc w:val="left"/>
    </w:pPr>
    <w:rPr>
      <w:rFonts w:ascii="仿宋_GB2312" w:eastAsia="仿宋_GB2312"/>
      <w:sz w:val="24"/>
    </w:rPr>
  </w:style>
  <w:style w:type="paragraph" w:customStyle="1" w:styleId="69">
    <w:name w:val="彩色列表 - 强调文字颜色 12"/>
    <w:basedOn w:val="1"/>
    <w:link w:val="253"/>
    <w:qFormat/>
    <w:uiPriority w:val="99"/>
    <w:pPr>
      <w:ind w:firstLine="420" w:firstLineChars="200"/>
    </w:pPr>
  </w:style>
  <w:style w:type="paragraph" w:customStyle="1" w:styleId="70">
    <w:name w:val="Blockquote"/>
    <w:basedOn w:val="1"/>
    <w:link w:val="254"/>
    <w:qFormat/>
    <w:uiPriority w:val="0"/>
    <w:pPr>
      <w:autoSpaceDE w:val="0"/>
      <w:autoSpaceDN w:val="0"/>
      <w:adjustRightInd w:val="0"/>
      <w:spacing w:before="100" w:after="100"/>
      <w:ind w:left="360" w:right="360"/>
      <w:jc w:val="left"/>
    </w:pPr>
    <w:rPr>
      <w:kern w:val="0"/>
      <w:sz w:val="24"/>
      <w:szCs w:val="20"/>
    </w:rPr>
  </w:style>
  <w:style w:type="paragraph" w:customStyle="1" w:styleId="71">
    <w:name w:val="正文_3"/>
    <w:basedOn w:val="1"/>
    <w:qFormat/>
    <w:uiPriority w:val="0"/>
    <w:rPr>
      <w:szCs w:val="21"/>
    </w:rPr>
  </w:style>
  <w:style w:type="paragraph" w:customStyle="1" w:styleId="72">
    <w:name w:val="xl9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73">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4"/>
    </w:rPr>
  </w:style>
  <w:style w:type="paragraph" w:customStyle="1" w:styleId="74">
    <w:name w:val="xl9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b/>
      <w:bCs/>
      <w:color w:val="000000"/>
      <w:kern w:val="0"/>
      <w:sz w:val="24"/>
    </w:rPr>
  </w:style>
  <w:style w:type="paragraph" w:customStyle="1" w:styleId="75">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4"/>
    </w:rPr>
  </w:style>
  <w:style w:type="paragraph" w:customStyle="1" w:styleId="76">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4"/>
    </w:rPr>
  </w:style>
  <w:style w:type="paragraph" w:customStyle="1" w:styleId="77">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78">
    <w:name w:val="xl11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2"/>
      <w:szCs w:val="22"/>
    </w:rPr>
  </w:style>
  <w:style w:type="paragraph" w:customStyle="1" w:styleId="79">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80">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81">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82">
    <w:name w:val="xl8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4"/>
    </w:rPr>
  </w:style>
  <w:style w:type="paragraph" w:customStyle="1" w:styleId="83">
    <w:name w:val="条文1"/>
    <w:basedOn w:val="1"/>
    <w:qFormat/>
    <w:uiPriority w:val="0"/>
    <w:pPr>
      <w:tabs>
        <w:tab w:val="left" w:pos="720"/>
      </w:tabs>
      <w:spacing w:line="360" w:lineRule="auto"/>
    </w:pPr>
    <w:rPr>
      <w:rFonts w:ascii="MS UI Gothic" w:hAnsi="MS UI Gothic"/>
      <w:kern w:val="44"/>
      <w:sz w:val="24"/>
      <w:szCs w:val="20"/>
    </w:rPr>
  </w:style>
  <w:style w:type="paragraph" w:customStyle="1" w:styleId="84">
    <w:name w:val="Char2"/>
    <w:basedOn w:val="1"/>
    <w:qFormat/>
    <w:uiPriority w:val="0"/>
    <w:rPr>
      <w:rFonts w:ascii="仿宋_GB2312" w:eastAsia="仿宋_GB2312"/>
      <w:b/>
      <w:sz w:val="32"/>
      <w:szCs w:val="32"/>
    </w:rPr>
  </w:style>
  <w:style w:type="paragraph" w:customStyle="1" w:styleId="85">
    <w:name w:val="xl14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86">
    <w:name w:val="xl139"/>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color w:val="000000"/>
      <w:kern w:val="0"/>
      <w:sz w:val="24"/>
    </w:rPr>
  </w:style>
  <w:style w:type="paragraph" w:customStyle="1" w:styleId="87">
    <w:name w:val="正文文字缩进 3"/>
    <w:basedOn w:val="1"/>
    <w:qFormat/>
    <w:uiPriority w:val="0"/>
    <w:pPr>
      <w:widowControl/>
      <w:spacing w:before="119" w:line="272" w:lineRule="atLeast"/>
      <w:ind w:left="719" w:firstLine="481"/>
      <w:jc w:val="left"/>
      <w:textAlignment w:val="baseline"/>
    </w:pPr>
    <w:rPr>
      <w:rFonts w:ascii="宋体"/>
      <w:color w:val="000000"/>
      <w:kern w:val="0"/>
      <w:sz w:val="24"/>
      <w:szCs w:val="20"/>
      <w:u w:color="000000"/>
    </w:rPr>
  </w:style>
  <w:style w:type="paragraph" w:customStyle="1" w:styleId="88">
    <w:name w:val="xl13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color w:val="000000"/>
      <w:kern w:val="0"/>
      <w:sz w:val="24"/>
    </w:rPr>
  </w:style>
  <w:style w:type="paragraph" w:customStyle="1" w:styleId="89">
    <w:name w:val="xl12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90">
    <w:name w:val="xl11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4"/>
    </w:rPr>
  </w:style>
  <w:style w:type="paragraph" w:customStyle="1" w:styleId="91">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92">
    <w:name w:val="列出段落_0"/>
    <w:basedOn w:val="71"/>
    <w:qFormat/>
    <w:uiPriority w:val="0"/>
    <w:pPr>
      <w:ind w:firstLine="420" w:firstLineChars="200"/>
    </w:pPr>
  </w:style>
  <w:style w:type="paragraph" w:customStyle="1" w:styleId="93">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94">
    <w:name w:val="正文（绿盟科技）"/>
    <w:unhideWhenUsed/>
    <w:qFormat/>
    <w:uiPriority w:val="0"/>
    <w:pPr>
      <w:spacing w:line="300" w:lineRule="auto"/>
    </w:pPr>
    <w:rPr>
      <w:rFonts w:ascii="Arial" w:hAnsi="Arial" w:eastAsia="宋体" w:cs="Times New Roman"/>
      <w:sz w:val="21"/>
      <w:lang w:val="en-US" w:eastAsia="zh-CN" w:bidi="ar-SA"/>
    </w:rPr>
  </w:style>
  <w:style w:type="paragraph" w:customStyle="1" w:styleId="95">
    <w:name w:val="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96">
    <w:name w:val="xl78"/>
    <w:basedOn w:val="1"/>
    <w:qFormat/>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97">
    <w:name w:val="xl130"/>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textAlignment w:val="center"/>
    </w:pPr>
    <w:rPr>
      <w:rFonts w:ascii="宋体" w:hAnsi="宋体" w:cs="宋体"/>
      <w:b/>
      <w:bCs/>
      <w:color w:val="000000"/>
      <w:kern w:val="0"/>
      <w:sz w:val="24"/>
    </w:rPr>
  </w:style>
  <w:style w:type="paragraph" w:customStyle="1" w:styleId="98">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9">
    <w:name w:val="xl13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color w:val="000000"/>
      <w:kern w:val="0"/>
      <w:sz w:val="24"/>
    </w:rPr>
  </w:style>
  <w:style w:type="paragraph" w:styleId="100">
    <w:name w:val="List Paragraph"/>
    <w:basedOn w:val="1"/>
    <w:next w:val="19"/>
    <w:qFormat/>
    <w:uiPriority w:val="99"/>
    <w:pPr>
      <w:ind w:firstLine="420" w:firstLineChars="200"/>
    </w:pPr>
    <w:rPr>
      <w:rFonts w:ascii="Calibri" w:hAnsi="Calibri"/>
    </w:rPr>
  </w:style>
  <w:style w:type="paragraph" w:customStyle="1" w:styleId="101">
    <w:name w:val="标题1"/>
    <w:basedOn w:val="24"/>
    <w:qFormat/>
    <w:uiPriority w:val="0"/>
    <w:pPr>
      <w:spacing w:line="360" w:lineRule="auto"/>
    </w:pPr>
    <w:rPr>
      <w:b/>
      <w:sz w:val="30"/>
    </w:rPr>
  </w:style>
  <w:style w:type="paragraph" w:customStyle="1" w:styleId="102">
    <w:name w:val="font5"/>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103">
    <w:name w:val="正文2"/>
    <w:basedOn w:val="1"/>
    <w:qFormat/>
    <w:uiPriority w:val="0"/>
    <w:pPr>
      <w:spacing w:before="156" w:line="360" w:lineRule="auto"/>
      <w:ind w:firstLine="510" w:firstLineChars="200"/>
    </w:pPr>
    <w:rPr>
      <w:sz w:val="24"/>
      <w:szCs w:val="20"/>
    </w:rPr>
  </w:style>
  <w:style w:type="paragraph" w:customStyle="1" w:styleId="104">
    <w:name w:val="List Paragraph1"/>
    <w:basedOn w:val="1"/>
    <w:qFormat/>
    <w:uiPriority w:val="99"/>
    <w:pPr>
      <w:ind w:firstLine="420" w:firstLineChars="200"/>
    </w:pPr>
    <w:rPr>
      <w:rFonts w:ascii="Calibri" w:hAnsi="Calibri"/>
    </w:rPr>
  </w:style>
  <w:style w:type="paragraph" w:customStyle="1" w:styleId="105">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106">
    <w:name w:val="xl12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4"/>
    </w:rPr>
  </w:style>
  <w:style w:type="paragraph" w:customStyle="1" w:styleId="107">
    <w:name w:val="Char Char Char Char1 Char Char Char Char"/>
    <w:basedOn w:val="1"/>
    <w:qFormat/>
    <w:uiPriority w:val="0"/>
    <w:pPr>
      <w:ind w:firstLine="200" w:firstLineChars="200"/>
    </w:pPr>
    <w:rPr>
      <w:rFonts w:ascii="Tahoma" w:hAnsi="Tahoma"/>
      <w:sz w:val="24"/>
      <w:szCs w:val="20"/>
    </w:rPr>
  </w:style>
  <w:style w:type="paragraph" w:customStyle="1" w:styleId="108">
    <w:name w:val="内文正文"/>
    <w:basedOn w:val="24"/>
    <w:qFormat/>
    <w:uiPriority w:val="0"/>
    <w:pPr>
      <w:adjustRightInd w:val="0"/>
      <w:snapToGrid w:val="0"/>
      <w:spacing w:line="400" w:lineRule="exact"/>
      <w:ind w:firstLine="200" w:firstLineChars="200"/>
    </w:pPr>
    <w:rPr>
      <w:rFonts w:ascii="Arial" w:hAnsi="Arial" w:cs="Courier New"/>
      <w:color w:val="000000"/>
      <w:szCs w:val="21"/>
    </w:rPr>
  </w:style>
  <w:style w:type="paragraph" w:customStyle="1" w:styleId="109">
    <w:name w:val="xl10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110">
    <w:name w:val="xl12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color w:val="000000"/>
      <w:kern w:val="0"/>
      <w:sz w:val="24"/>
    </w:rPr>
  </w:style>
  <w:style w:type="paragraph" w:customStyle="1" w:styleId="111">
    <w:name w:val="表内文字"/>
    <w:basedOn w:val="1"/>
    <w:qFormat/>
    <w:uiPriority w:val="0"/>
    <w:pPr>
      <w:tabs>
        <w:tab w:val="left" w:pos="1418"/>
      </w:tabs>
      <w:spacing w:line="360" w:lineRule="auto"/>
      <w:jc w:val="center"/>
    </w:pPr>
    <w:rPr>
      <w:rFonts w:hint="eastAsia" w:ascii="仿宋_GB2312" w:eastAsia="仿宋_GB2312"/>
      <w:spacing w:val="-20"/>
      <w:kern w:val="0"/>
      <w:sz w:val="24"/>
    </w:rPr>
  </w:style>
  <w:style w:type="paragraph" w:customStyle="1" w:styleId="112">
    <w:name w:val="Char4"/>
    <w:basedOn w:val="14"/>
    <w:qFormat/>
    <w:uiPriority w:val="0"/>
    <w:pPr>
      <w:widowControl/>
      <w:spacing w:afterLines="50" w:line="360" w:lineRule="auto"/>
      <w:ind w:firstLine="480"/>
      <w:jc w:val="left"/>
    </w:pPr>
  </w:style>
  <w:style w:type="paragraph" w:customStyle="1" w:styleId="113">
    <w:name w:val="xl11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2"/>
      <w:szCs w:val="22"/>
    </w:rPr>
  </w:style>
  <w:style w:type="paragraph" w:customStyle="1" w:styleId="114">
    <w:name w:val="xl11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4"/>
    </w:rPr>
  </w:style>
  <w:style w:type="paragraph" w:customStyle="1" w:styleId="115">
    <w:name w:val="xl68"/>
    <w:basedOn w:val="1"/>
    <w:qFormat/>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116">
    <w:name w:val="xl138"/>
    <w:basedOn w:val="1"/>
    <w:qFormat/>
    <w:uiPriority w:val="0"/>
    <w:pPr>
      <w:widowControl/>
      <w:pBdr>
        <w:top w:val="single" w:color="auto" w:sz="4" w:space="0"/>
        <w:bottom w:val="single" w:color="auto" w:sz="4" w:space="0"/>
      </w:pBdr>
      <w:shd w:val="clear" w:color="000000" w:fill="FFFFFF"/>
      <w:spacing w:before="100" w:beforeAutospacing="1" w:after="100" w:afterAutospacing="1"/>
      <w:jc w:val="left"/>
      <w:textAlignment w:val="center"/>
    </w:pPr>
    <w:rPr>
      <w:rFonts w:ascii="宋体" w:hAnsi="宋体" w:cs="宋体"/>
      <w:color w:val="000000"/>
      <w:kern w:val="0"/>
      <w:sz w:val="24"/>
    </w:rPr>
  </w:style>
  <w:style w:type="paragraph" w:customStyle="1" w:styleId="117">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18">
    <w:name w:val="xl9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119">
    <w:name w:val="xl136"/>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000000"/>
      <w:kern w:val="0"/>
      <w:sz w:val="24"/>
    </w:rPr>
  </w:style>
  <w:style w:type="paragraph" w:customStyle="1" w:styleId="120">
    <w:name w:val="正文11"/>
    <w:qFormat/>
    <w:uiPriority w:val="0"/>
    <w:pPr>
      <w:widowControl w:val="0"/>
      <w:pBdr>
        <w:top w:val="none" w:color="000000" w:sz="0" w:space="0"/>
        <w:left w:val="none" w:color="000000" w:sz="0" w:space="0"/>
        <w:bottom w:val="none" w:color="000000" w:sz="0" w:space="0"/>
        <w:right w:val="none" w:color="000000" w:sz="0" w:space="0"/>
        <w:between w:val="none" w:color="000000" w:sz="0" w:space="0"/>
      </w:pBdr>
      <w:shd w:val="clear" w:color="auto" w:fill="FFFFFF"/>
      <w:jc w:val="both"/>
    </w:pPr>
    <w:rPr>
      <w:rFonts w:ascii="Times New Roman" w:hAnsi="Times New Roman" w:eastAsia="宋体" w:cs="Times New Roman"/>
      <w:sz w:val="21"/>
      <w:szCs w:val="22"/>
      <w:lang w:val="en-US" w:eastAsia="zh-CN" w:bidi="ar-SA"/>
    </w:rPr>
  </w:style>
  <w:style w:type="paragraph" w:customStyle="1" w:styleId="121">
    <w:name w:val="xl107"/>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4"/>
    </w:rPr>
  </w:style>
  <w:style w:type="paragraph" w:customStyle="1" w:styleId="122">
    <w:name w:val="xl123"/>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color w:val="000000"/>
      <w:kern w:val="0"/>
      <w:sz w:val="24"/>
    </w:rPr>
  </w:style>
  <w:style w:type="paragraph" w:customStyle="1" w:styleId="123">
    <w:name w:val="TOAHeading"/>
    <w:basedOn w:val="1"/>
    <w:next w:val="1"/>
    <w:qFormat/>
    <w:uiPriority w:val="0"/>
    <w:pPr>
      <w:spacing w:before="120"/>
      <w:textAlignment w:val="baseline"/>
    </w:pPr>
    <w:rPr>
      <w:rFonts w:ascii="Arial" w:hAnsi="Arial"/>
      <w:sz w:val="24"/>
    </w:rPr>
  </w:style>
  <w:style w:type="paragraph" w:customStyle="1" w:styleId="124">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rPr>
  </w:style>
  <w:style w:type="paragraph" w:customStyle="1" w:styleId="125">
    <w:name w:val="xl77"/>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26">
    <w:name w:val="xl108"/>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0"/>
      <w:szCs w:val="20"/>
    </w:rPr>
  </w:style>
  <w:style w:type="paragraph" w:customStyle="1" w:styleId="127">
    <w:name w:val="17“1.”四级标题"/>
    <w:basedOn w:val="128"/>
    <w:unhideWhenUsed/>
    <w:qFormat/>
    <w:uiPriority w:val="0"/>
    <w:pPr>
      <w:numPr>
        <w:ilvl w:val="3"/>
        <w:numId w:val="1"/>
      </w:numPr>
      <w:ind w:firstLine="803"/>
    </w:pPr>
  </w:style>
  <w:style w:type="paragraph" w:customStyle="1" w:styleId="128">
    <w:name w:val="02、首行缩进2字符正文"/>
    <w:basedOn w:val="1"/>
    <w:unhideWhenUsed/>
    <w:qFormat/>
    <w:uiPriority w:val="0"/>
    <w:pPr>
      <w:tabs>
        <w:tab w:val="left" w:pos="0"/>
      </w:tabs>
      <w:wordWrap w:val="0"/>
      <w:topLinePunct/>
      <w:ind w:firstLine="480" w:firstLineChars="200"/>
    </w:pPr>
    <w:rPr>
      <w:rFonts w:hint="eastAsia" w:hAnsi="宋体"/>
    </w:rPr>
  </w:style>
  <w:style w:type="paragraph" w:customStyle="1" w:styleId="129">
    <w:name w:val="首行缩进"/>
    <w:basedOn w:val="1"/>
    <w:qFormat/>
    <w:uiPriority w:val="99"/>
    <w:pPr>
      <w:spacing w:line="360" w:lineRule="auto"/>
      <w:ind w:firstLine="480" w:firstLineChars="200"/>
    </w:pPr>
    <w:rPr>
      <w:szCs w:val="22"/>
    </w:rPr>
  </w:style>
  <w:style w:type="paragraph" w:customStyle="1" w:styleId="130">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4"/>
    </w:rPr>
  </w:style>
  <w:style w:type="paragraph" w:customStyle="1" w:styleId="131">
    <w:name w:val="默认段落字体 Para Char"/>
    <w:basedOn w:val="1"/>
    <w:qFormat/>
    <w:uiPriority w:val="0"/>
    <w:pPr>
      <w:numPr>
        <w:ilvl w:val="0"/>
        <w:numId w:val="2"/>
      </w:numPr>
    </w:pPr>
  </w:style>
  <w:style w:type="paragraph" w:customStyle="1" w:styleId="132">
    <w:name w:val="xl131"/>
    <w:basedOn w:val="1"/>
    <w:qFormat/>
    <w:uiPriority w:val="0"/>
    <w:pPr>
      <w:widowControl/>
      <w:pBdr>
        <w:top w:val="single" w:color="auto" w:sz="4" w:space="0"/>
        <w:bottom w:val="single" w:color="auto" w:sz="4" w:space="0"/>
      </w:pBdr>
      <w:shd w:val="clear" w:color="000000" w:fill="FFFFFF"/>
      <w:spacing w:before="100" w:beforeAutospacing="1" w:after="100" w:afterAutospacing="1"/>
      <w:jc w:val="left"/>
      <w:textAlignment w:val="center"/>
    </w:pPr>
    <w:rPr>
      <w:rFonts w:ascii="宋体" w:hAnsi="宋体" w:cs="宋体"/>
      <w:b/>
      <w:bCs/>
      <w:color w:val="000000"/>
      <w:kern w:val="0"/>
      <w:sz w:val="24"/>
    </w:rPr>
  </w:style>
  <w:style w:type="paragraph" w:customStyle="1" w:styleId="133">
    <w:name w:val="xl8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4"/>
    </w:rPr>
  </w:style>
  <w:style w:type="paragraph" w:customStyle="1" w:styleId="13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135">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4"/>
    </w:rPr>
  </w:style>
  <w:style w:type="paragraph" w:customStyle="1" w:styleId="136">
    <w:name w:val="正文文字缩进 2"/>
    <w:basedOn w:val="1"/>
    <w:qFormat/>
    <w:uiPriority w:val="0"/>
    <w:pPr>
      <w:widowControl/>
      <w:spacing w:line="351" w:lineRule="atLeast"/>
      <w:ind w:firstLine="481"/>
      <w:textAlignment w:val="baseline"/>
    </w:pPr>
    <w:rPr>
      <w:rFonts w:ascii="仿宋_GB2312" w:eastAsia="仿宋_GB2312"/>
      <w:color w:val="000000"/>
      <w:kern w:val="0"/>
      <w:sz w:val="24"/>
      <w:szCs w:val="20"/>
      <w:u w:color="000000"/>
    </w:rPr>
  </w:style>
  <w:style w:type="paragraph" w:customStyle="1" w:styleId="137">
    <w:name w:val="xl8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38">
    <w:name w:val="xl13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000000"/>
      <w:kern w:val="0"/>
      <w:sz w:val="24"/>
    </w:rPr>
  </w:style>
  <w:style w:type="paragraph" w:customStyle="1" w:styleId="139">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4"/>
    </w:rPr>
  </w:style>
  <w:style w:type="paragraph" w:customStyle="1" w:styleId="140">
    <w:name w:val="xl11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0"/>
      <w:szCs w:val="20"/>
    </w:rPr>
  </w:style>
  <w:style w:type="paragraph" w:customStyle="1" w:styleId="141">
    <w:name w:val="1"/>
    <w:basedOn w:val="1"/>
    <w:next w:val="37"/>
    <w:qFormat/>
    <w:uiPriority w:val="0"/>
    <w:pPr>
      <w:widowControl/>
      <w:snapToGrid w:val="0"/>
      <w:spacing w:line="440" w:lineRule="atLeast"/>
      <w:ind w:firstLine="480"/>
    </w:pPr>
    <w:rPr>
      <w:kern w:val="0"/>
      <w:sz w:val="24"/>
      <w:szCs w:val="20"/>
    </w:rPr>
  </w:style>
  <w:style w:type="paragraph" w:customStyle="1" w:styleId="142">
    <w:name w:val="xl137"/>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textAlignment w:val="center"/>
    </w:pPr>
    <w:rPr>
      <w:rFonts w:ascii="宋体" w:hAnsi="宋体" w:cs="宋体"/>
      <w:color w:val="000000"/>
      <w:kern w:val="0"/>
      <w:sz w:val="24"/>
    </w:rPr>
  </w:style>
  <w:style w:type="paragraph" w:customStyle="1" w:styleId="143">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44">
    <w:name w:val="_Style 4"/>
    <w:basedOn w:val="1"/>
    <w:next w:val="1"/>
    <w:qFormat/>
    <w:uiPriority w:val="0"/>
    <w:pPr>
      <w:ind w:firstLine="420" w:firstLineChars="200"/>
    </w:pPr>
  </w:style>
  <w:style w:type="paragraph" w:customStyle="1" w:styleId="145">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46">
    <w:name w:val="xl12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2"/>
      <w:szCs w:val="22"/>
    </w:rPr>
  </w:style>
  <w:style w:type="paragraph" w:customStyle="1" w:styleId="147">
    <w:name w:val="xl11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b/>
      <w:bCs/>
      <w:color w:val="000000"/>
      <w:kern w:val="0"/>
      <w:sz w:val="24"/>
    </w:rPr>
  </w:style>
  <w:style w:type="paragraph" w:customStyle="1" w:styleId="148">
    <w:name w:val="xl109"/>
    <w:basedOn w:val="1"/>
    <w:qFormat/>
    <w:uiPriority w:val="0"/>
    <w:pPr>
      <w:widowControl/>
      <w:pBdr>
        <w:top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149">
    <w:name w:val="xl115"/>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4"/>
    </w:rPr>
  </w:style>
  <w:style w:type="paragraph" w:customStyle="1" w:styleId="150">
    <w:name w:val="纯文本1"/>
    <w:basedOn w:val="1"/>
    <w:qFormat/>
    <w:uiPriority w:val="0"/>
    <w:rPr>
      <w:rFonts w:ascii="宋体" w:hAnsi="Courier New"/>
      <w:szCs w:val="21"/>
    </w:rPr>
  </w:style>
  <w:style w:type="paragraph" w:customStyle="1" w:styleId="151">
    <w:name w:val="纯文本2"/>
    <w:basedOn w:val="1"/>
    <w:qFormat/>
    <w:uiPriority w:val="0"/>
    <w:rPr>
      <w:rFonts w:ascii="宋体" w:hAnsi="Courier New" w:cs="Courier New"/>
      <w:szCs w:val="21"/>
    </w:rPr>
  </w:style>
  <w:style w:type="paragraph" w:customStyle="1" w:styleId="152">
    <w:name w:val="Char Char14 Char Char Char Char"/>
    <w:basedOn w:val="1"/>
    <w:qFormat/>
    <w:uiPriority w:val="0"/>
    <w:pPr>
      <w:widowControl/>
      <w:spacing w:after="160" w:line="240" w:lineRule="exact"/>
      <w:jc w:val="left"/>
    </w:pPr>
  </w:style>
  <w:style w:type="paragraph" w:customStyle="1" w:styleId="153">
    <w:name w:val="普通文字"/>
    <w:basedOn w:val="1"/>
    <w:qFormat/>
    <w:uiPriority w:val="0"/>
    <w:pPr>
      <w:widowControl/>
      <w:spacing w:line="351" w:lineRule="atLeast"/>
      <w:ind w:firstLine="419"/>
      <w:textAlignment w:val="baseline"/>
    </w:pPr>
    <w:rPr>
      <w:rFonts w:ascii="宋体"/>
      <w:color w:val="000000"/>
      <w:kern w:val="0"/>
      <w:szCs w:val="20"/>
      <w:u w:color="000000"/>
    </w:rPr>
  </w:style>
  <w:style w:type="paragraph" w:customStyle="1" w:styleId="154">
    <w:name w:val="xl9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4"/>
    </w:rPr>
  </w:style>
  <w:style w:type="paragraph" w:customStyle="1" w:styleId="155">
    <w:name w:val="TOC 标题1"/>
    <w:basedOn w:val="3"/>
    <w:next w:val="1"/>
    <w:qFormat/>
    <w:uiPriority w:val="0"/>
    <w:pPr>
      <w:keepLines/>
      <w:widowControl/>
      <w:tabs>
        <w:tab w:val="left" w:pos="420"/>
      </w:tabs>
      <w:spacing w:before="120" w:line="180" w:lineRule="auto"/>
      <w:jc w:val="left"/>
      <w:outlineLvl w:val="9"/>
    </w:pPr>
    <w:rPr>
      <w:rFonts w:ascii="Cambria" w:hAnsi="Cambria"/>
      <w:b w:val="0"/>
      <w:bCs/>
      <w:color w:val="365F91"/>
      <w:kern w:val="0"/>
      <w:sz w:val="28"/>
      <w:szCs w:val="28"/>
      <w:lang w:eastAsia="en-US"/>
    </w:rPr>
  </w:style>
  <w:style w:type="paragraph" w:customStyle="1" w:styleId="156">
    <w:name w:val="列出段落2"/>
    <w:basedOn w:val="1"/>
    <w:qFormat/>
    <w:uiPriority w:val="34"/>
    <w:pPr>
      <w:ind w:firstLine="420" w:firstLineChars="200"/>
    </w:pPr>
  </w:style>
  <w:style w:type="paragraph" w:customStyle="1" w:styleId="157">
    <w:name w:val="font6"/>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158">
    <w:name w:val="xl69"/>
    <w:basedOn w:val="1"/>
    <w:qFormat/>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159">
    <w:name w:val="16、“(一)”三级标题"/>
    <w:basedOn w:val="1"/>
    <w:unhideWhenUsed/>
    <w:qFormat/>
    <w:uiPriority w:val="0"/>
    <w:pPr>
      <w:numPr>
        <w:ilvl w:val="2"/>
        <w:numId w:val="1"/>
      </w:numPr>
      <w:wordWrap w:val="0"/>
      <w:topLinePunct/>
      <w:ind w:firstLine="803" w:firstLineChars="200"/>
      <w:outlineLvl w:val="2"/>
    </w:pPr>
    <w:rPr>
      <w:rFonts w:hint="eastAsia"/>
      <w:b/>
      <w:snapToGrid w:val="0"/>
    </w:rPr>
  </w:style>
  <w:style w:type="paragraph" w:customStyle="1" w:styleId="160">
    <w:name w:val="xl10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4"/>
    </w:rPr>
  </w:style>
  <w:style w:type="paragraph" w:customStyle="1" w:styleId="161">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4"/>
    </w:rPr>
  </w:style>
  <w:style w:type="paragraph" w:customStyle="1" w:styleId="162">
    <w:name w:val="样式4"/>
    <w:basedOn w:val="29"/>
    <w:qFormat/>
    <w:uiPriority w:val="0"/>
    <w:pPr>
      <w:pBdr>
        <w:top w:val="single" w:color="auto" w:sz="4" w:space="1"/>
        <w:bottom w:val="single" w:color="auto" w:sz="4" w:space="1"/>
      </w:pBdr>
      <w:tabs>
        <w:tab w:val="right" w:pos="9901"/>
        <w:tab w:val="clear" w:pos="4153"/>
        <w:tab w:val="clear" w:pos="8306"/>
      </w:tabs>
    </w:pPr>
    <w:rPr>
      <w:sz w:val="21"/>
    </w:rPr>
  </w:style>
  <w:style w:type="paragraph" w:customStyle="1" w:styleId="163">
    <w:name w:val="xl10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0"/>
      <w:szCs w:val="20"/>
    </w:rPr>
  </w:style>
  <w:style w:type="paragraph" w:customStyle="1" w:styleId="164">
    <w:name w:val="xl10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165">
    <w:name w:val="Char Char Char Char Char Char Char"/>
    <w:basedOn w:val="1"/>
    <w:qFormat/>
    <w:uiPriority w:val="0"/>
    <w:rPr>
      <w:rFonts w:ascii="仿宋_GB2312" w:eastAsia="仿宋_GB2312"/>
      <w:b/>
      <w:sz w:val="32"/>
      <w:szCs w:val="32"/>
    </w:rPr>
  </w:style>
  <w:style w:type="paragraph" w:customStyle="1" w:styleId="166">
    <w:name w:val="普通(网站)1"/>
    <w:basedOn w:val="1"/>
    <w:qFormat/>
    <w:uiPriority w:val="0"/>
    <w:pPr>
      <w:widowControl/>
      <w:jc w:val="left"/>
    </w:pPr>
    <w:rPr>
      <w:rFonts w:ascii="ˎ̥" w:hAnsi="ˎ̥" w:cs="宋体"/>
      <w:color w:val="000000"/>
      <w:kern w:val="0"/>
      <w:sz w:val="13"/>
      <w:szCs w:val="13"/>
    </w:rPr>
  </w:style>
  <w:style w:type="paragraph" w:customStyle="1" w:styleId="167">
    <w:name w:val="样式 首行缩进:  2 字符"/>
    <w:basedOn w:val="1"/>
    <w:qFormat/>
    <w:uiPriority w:val="2"/>
    <w:pPr>
      <w:spacing w:line="430" w:lineRule="exact"/>
      <w:textAlignment w:val="center"/>
    </w:pPr>
    <w:rPr>
      <w:rFonts w:eastAsia="仿宋_GB2312"/>
      <w:sz w:val="24"/>
      <w:lang w:val="en-GB"/>
    </w:rPr>
  </w:style>
  <w:style w:type="paragraph" w:customStyle="1" w:styleId="168">
    <w:name w:val="xl8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69">
    <w:name w:val="List Paragraph2"/>
    <w:basedOn w:val="1"/>
    <w:qFormat/>
    <w:uiPriority w:val="34"/>
    <w:pPr>
      <w:ind w:firstLine="420" w:firstLineChars="200"/>
    </w:pPr>
  </w:style>
  <w:style w:type="paragraph" w:customStyle="1" w:styleId="170">
    <w:name w:val="xl12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71">
    <w:name w:val="xl98"/>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172">
    <w:name w:val="样式 样式 标题 3 + (符号) 宋体 四号 加粗 黑色 段前: 0 磅 段后: 0 磅 行距: 固定值 22 磅 + 段前:..."/>
    <w:basedOn w:val="1"/>
    <w:qFormat/>
    <w:uiPriority w:val="0"/>
    <w:pPr>
      <w:keepNext/>
      <w:keepLines/>
      <w:spacing w:beforeLines="50" w:afterLines="50" w:line="580" w:lineRule="exact"/>
      <w:jc w:val="left"/>
      <w:outlineLvl w:val="2"/>
    </w:pPr>
    <w:rPr>
      <w:rFonts w:ascii="宋体" w:hAnsi="宋体"/>
      <w:b/>
      <w:bCs/>
      <w:color w:val="000000"/>
      <w:kern w:val="24"/>
      <w:sz w:val="28"/>
      <w:szCs w:val="20"/>
    </w:rPr>
  </w:style>
  <w:style w:type="paragraph" w:customStyle="1" w:styleId="173">
    <w:name w:val="Char1 Char Char Char Char Char Char"/>
    <w:basedOn w:val="1"/>
    <w:qFormat/>
    <w:uiPriority w:val="0"/>
    <w:rPr>
      <w:rFonts w:ascii="仿宋_GB2312" w:eastAsia="仿宋_GB2312"/>
      <w:b/>
      <w:sz w:val="32"/>
      <w:szCs w:val="32"/>
    </w:rPr>
  </w:style>
  <w:style w:type="paragraph" w:customStyle="1" w:styleId="174">
    <w:name w:val="正文1"/>
    <w:basedOn w:val="1"/>
    <w:qFormat/>
    <w:uiPriority w:val="0"/>
    <w:pPr>
      <w:widowControl/>
    </w:pPr>
    <w:rPr>
      <w:szCs w:val="21"/>
    </w:rPr>
  </w:style>
  <w:style w:type="paragraph" w:customStyle="1" w:styleId="175">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76">
    <w:name w:val="g11"/>
    <w:basedOn w:val="1"/>
    <w:qFormat/>
    <w:uiPriority w:val="0"/>
    <w:pPr>
      <w:widowControl/>
      <w:spacing w:before="100" w:beforeAutospacing="1" w:after="100" w:afterAutospacing="1" w:line="900" w:lineRule="atLeast"/>
      <w:jc w:val="left"/>
    </w:pPr>
    <w:rPr>
      <w:rFonts w:hint="eastAsia" w:ascii="华文中宋" w:hAnsi="华文中宋" w:eastAsia="华文中宋"/>
      <w:b/>
      <w:bCs/>
      <w:color w:val="FF0000"/>
      <w:kern w:val="0"/>
      <w:sz w:val="60"/>
      <w:szCs w:val="60"/>
    </w:rPr>
  </w:style>
  <w:style w:type="paragraph" w:customStyle="1" w:styleId="177">
    <w:name w:val="_Style 1"/>
    <w:basedOn w:val="1"/>
    <w:qFormat/>
    <w:uiPriority w:val="0"/>
    <w:pPr>
      <w:ind w:firstLine="420" w:firstLineChars="200"/>
    </w:pPr>
    <w:rPr>
      <w:rFonts w:ascii="Calibri" w:hAnsi="Calibri"/>
      <w:szCs w:val="22"/>
    </w:rPr>
  </w:style>
  <w:style w:type="paragraph" w:customStyle="1" w:styleId="178">
    <w:name w:val="xl12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4"/>
    </w:rPr>
  </w:style>
  <w:style w:type="paragraph" w:customStyle="1" w:styleId="179">
    <w:name w:val="p0"/>
    <w:basedOn w:val="1"/>
    <w:qFormat/>
    <w:uiPriority w:val="0"/>
    <w:pPr>
      <w:widowControl/>
    </w:pPr>
    <w:rPr>
      <w:kern w:val="0"/>
      <w:szCs w:val="21"/>
    </w:rPr>
  </w:style>
  <w:style w:type="paragraph" w:customStyle="1" w:styleId="180">
    <w:name w:val="xl14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181">
    <w:name w:val="xl142"/>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182">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183">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84">
    <w:name w:val="xl10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b/>
      <w:bCs/>
      <w:color w:val="000000"/>
      <w:kern w:val="0"/>
      <w:sz w:val="24"/>
    </w:rPr>
  </w:style>
  <w:style w:type="paragraph" w:customStyle="1" w:styleId="185">
    <w:name w:val="style160"/>
    <w:basedOn w:val="1"/>
    <w:qFormat/>
    <w:uiPriority w:val="0"/>
    <w:pPr>
      <w:widowControl/>
      <w:spacing w:before="100" w:beforeAutospacing="1" w:after="100" w:afterAutospacing="1"/>
      <w:jc w:val="left"/>
    </w:pPr>
    <w:rPr>
      <w:rFonts w:ascii="宋体" w:hAnsi="宋体" w:cs="宋体"/>
      <w:kern w:val="0"/>
      <w:szCs w:val="21"/>
    </w:rPr>
  </w:style>
  <w:style w:type="paragraph" w:customStyle="1" w:styleId="186">
    <w:name w:val="Char3"/>
    <w:basedOn w:val="1"/>
    <w:qFormat/>
    <w:uiPriority w:val="0"/>
    <w:rPr>
      <w:rFonts w:ascii="仿宋_GB2312" w:eastAsia="仿宋_GB2312"/>
      <w:b/>
      <w:sz w:val="32"/>
      <w:szCs w:val="32"/>
    </w:rPr>
  </w:style>
  <w:style w:type="paragraph" w:customStyle="1" w:styleId="187">
    <w:name w:val="正文－恩普"/>
    <w:basedOn w:val="14"/>
    <w:qFormat/>
    <w:uiPriority w:val="0"/>
    <w:pPr>
      <w:widowControl/>
      <w:spacing w:afterLines="50" w:line="360" w:lineRule="auto"/>
      <w:ind w:firstLine="480"/>
      <w:jc w:val="left"/>
    </w:pPr>
    <w:rPr>
      <w:kern w:val="0"/>
      <w:sz w:val="24"/>
      <w:szCs w:val="20"/>
    </w:rPr>
  </w:style>
  <w:style w:type="paragraph" w:customStyle="1" w:styleId="188">
    <w:name w:val="正文缩进1"/>
    <w:basedOn w:val="1"/>
    <w:next w:val="20"/>
    <w:qFormat/>
    <w:uiPriority w:val="99"/>
    <w:pPr>
      <w:autoSpaceDE w:val="0"/>
      <w:autoSpaceDN w:val="0"/>
      <w:adjustRightInd w:val="0"/>
      <w:snapToGrid w:val="0"/>
      <w:spacing w:after="120" w:line="360" w:lineRule="auto"/>
      <w:ind w:left="420" w:firstLine="480"/>
    </w:pPr>
    <w:rPr>
      <w:sz w:val="24"/>
    </w:rPr>
  </w:style>
  <w:style w:type="paragraph" w:customStyle="1" w:styleId="189">
    <w:name w:val="xl10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4"/>
    </w:rPr>
  </w:style>
  <w:style w:type="paragraph" w:customStyle="1" w:styleId="190">
    <w:name w:val="默认段落字体 Para Char Char Char Char Char Char Char"/>
    <w:basedOn w:val="1"/>
    <w:qFormat/>
    <w:uiPriority w:val="0"/>
    <w:rPr>
      <w:rFonts w:eastAsia="仿宋_GB2312"/>
      <w:sz w:val="28"/>
    </w:rPr>
  </w:style>
  <w:style w:type="paragraph" w:customStyle="1" w:styleId="191">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192">
    <w:name w:val="Char1 Char Char Char"/>
    <w:basedOn w:val="1"/>
    <w:qFormat/>
    <w:uiPriority w:val="0"/>
    <w:rPr>
      <w:szCs w:val="20"/>
    </w:rPr>
  </w:style>
  <w:style w:type="paragraph" w:customStyle="1" w:styleId="193">
    <w:name w:val="xl132"/>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b/>
      <w:bCs/>
      <w:color w:val="000000"/>
      <w:kern w:val="0"/>
      <w:sz w:val="24"/>
    </w:rPr>
  </w:style>
  <w:style w:type="paragraph" w:customStyle="1" w:styleId="194">
    <w:name w:val="Char11"/>
    <w:basedOn w:val="1"/>
    <w:qFormat/>
    <w:uiPriority w:val="0"/>
    <w:rPr>
      <w:rFonts w:ascii="仿宋_GB2312" w:eastAsia="仿宋_GB2312"/>
      <w:b/>
      <w:sz w:val="32"/>
      <w:szCs w:val="32"/>
    </w:rPr>
  </w:style>
  <w:style w:type="character" w:customStyle="1" w:styleId="195">
    <w:name w:val="正文缩进 字符"/>
    <w:link w:val="14"/>
    <w:qFormat/>
    <w:uiPriority w:val="0"/>
    <w:rPr>
      <w:kern w:val="2"/>
      <w:sz w:val="21"/>
      <w:szCs w:val="24"/>
    </w:rPr>
  </w:style>
  <w:style w:type="character" w:customStyle="1" w:styleId="196">
    <w:name w:val="标题 1 字符"/>
    <w:link w:val="3"/>
    <w:qFormat/>
    <w:uiPriority w:val="0"/>
    <w:rPr>
      <w:b/>
      <w:color w:val="000000"/>
      <w:kern w:val="2"/>
      <w:sz w:val="32"/>
      <w:szCs w:val="24"/>
    </w:rPr>
  </w:style>
  <w:style w:type="character" w:customStyle="1" w:styleId="197">
    <w:name w:val="标题 2 字符"/>
    <w:link w:val="4"/>
    <w:qFormat/>
    <w:uiPriority w:val="0"/>
    <w:rPr>
      <w:rFonts w:ascii="Arial" w:hAnsi="Arial"/>
      <w:b/>
      <w:bCs/>
      <w:kern w:val="2"/>
      <w:sz w:val="21"/>
      <w:szCs w:val="32"/>
    </w:rPr>
  </w:style>
  <w:style w:type="character" w:customStyle="1" w:styleId="198">
    <w:name w:val="标题 3 字符"/>
    <w:link w:val="5"/>
    <w:qFormat/>
    <w:uiPriority w:val="0"/>
    <w:rPr>
      <w:kern w:val="2"/>
      <w:sz w:val="24"/>
    </w:rPr>
  </w:style>
  <w:style w:type="character" w:customStyle="1" w:styleId="199">
    <w:name w:val="标题 4 字符"/>
    <w:link w:val="6"/>
    <w:qFormat/>
    <w:uiPriority w:val="9"/>
    <w:rPr>
      <w:rFonts w:ascii="Cambria" w:hAnsi="Cambria"/>
      <w:b/>
      <w:bCs/>
      <w:kern w:val="2"/>
      <w:sz w:val="28"/>
      <w:szCs w:val="28"/>
    </w:rPr>
  </w:style>
  <w:style w:type="character" w:customStyle="1" w:styleId="200">
    <w:name w:val="标题 5 字符"/>
    <w:link w:val="7"/>
    <w:qFormat/>
    <w:uiPriority w:val="9"/>
    <w:rPr>
      <w:b/>
      <w:bCs/>
      <w:kern w:val="2"/>
      <w:sz w:val="28"/>
      <w:szCs w:val="28"/>
    </w:rPr>
  </w:style>
  <w:style w:type="character" w:customStyle="1" w:styleId="201">
    <w:name w:val="标题 6 字符"/>
    <w:link w:val="8"/>
    <w:semiHidden/>
    <w:qFormat/>
    <w:uiPriority w:val="9"/>
    <w:rPr>
      <w:rFonts w:ascii="Cambria" w:hAnsi="Cambria"/>
      <w:b/>
      <w:bCs/>
      <w:kern w:val="2"/>
      <w:sz w:val="24"/>
      <w:szCs w:val="24"/>
    </w:rPr>
  </w:style>
  <w:style w:type="character" w:customStyle="1" w:styleId="202">
    <w:name w:val="标题 7 字符"/>
    <w:link w:val="9"/>
    <w:semiHidden/>
    <w:qFormat/>
    <w:uiPriority w:val="9"/>
    <w:rPr>
      <w:b/>
      <w:bCs/>
      <w:kern w:val="2"/>
      <w:sz w:val="24"/>
      <w:szCs w:val="24"/>
    </w:rPr>
  </w:style>
  <w:style w:type="character" w:customStyle="1" w:styleId="203">
    <w:name w:val="标题 8 字符"/>
    <w:link w:val="10"/>
    <w:semiHidden/>
    <w:qFormat/>
    <w:uiPriority w:val="9"/>
    <w:rPr>
      <w:rFonts w:ascii="Cambria" w:hAnsi="Cambria"/>
      <w:kern w:val="2"/>
      <w:sz w:val="24"/>
      <w:szCs w:val="24"/>
    </w:rPr>
  </w:style>
  <w:style w:type="character" w:customStyle="1" w:styleId="204">
    <w:name w:val="标题 9 字符"/>
    <w:link w:val="11"/>
    <w:semiHidden/>
    <w:qFormat/>
    <w:uiPriority w:val="9"/>
    <w:rPr>
      <w:rFonts w:ascii="Cambria" w:hAnsi="Cambria"/>
      <w:kern w:val="2"/>
      <w:sz w:val="24"/>
      <w:szCs w:val="21"/>
    </w:rPr>
  </w:style>
  <w:style w:type="character" w:customStyle="1" w:styleId="205">
    <w:name w:val="文档结构图 字符"/>
    <w:link w:val="15"/>
    <w:qFormat/>
    <w:uiPriority w:val="99"/>
    <w:rPr>
      <w:kern w:val="2"/>
      <w:sz w:val="21"/>
      <w:szCs w:val="24"/>
      <w:shd w:val="clear" w:color="auto" w:fill="000080"/>
    </w:rPr>
  </w:style>
  <w:style w:type="character" w:customStyle="1" w:styleId="206">
    <w:name w:val="批注文字 字符"/>
    <w:link w:val="17"/>
    <w:qFormat/>
    <w:uiPriority w:val="99"/>
    <w:rPr>
      <w:kern w:val="2"/>
      <w:sz w:val="21"/>
    </w:rPr>
  </w:style>
  <w:style w:type="character" w:customStyle="1" w:styleId="207">
    <w:name w:val="正文文本 3 字符"/>
    <w:link w:val="18"/>
    <w:qFormat/>
    <w:uiPriority w:val="0"/>
    <w:rPr>
      <w:rFonts w:ascii="楷体_GB2312" w:eastAsia="楷体_GB2312"/>
      <w:b/>
      <w:color w:val="000000"/>
      <w:kern w:val="2"/>
      <w:sz w:val="30"/>
      <w:szCs w:val="24"/>
    </w:rPr>
  </w:style>
  <w:style w:type="character" w:customStyle="1" w:styleId="208">
    <w:name w:val="正文文本 字符"/>
    <w:link w:val="19"/>
    <w:qFormat/>
    <w:uiPriority w:val="0"/>
    <w:rPr>
      <w:kern w:val="2"/>
      <w:sz w:val="21"/>
      <w:szCs w:val="24"/>
    </w:rPr>
  </w:style>
  <w:style w:type="character" w:customStyle="1" w:styleId="209">
    <w:name w:val="正文文本 2 字符"/>
    <w:link w:val="40"/>
    <w:qFormat/>
    <w:uiPriority w:val="0"/>
    <w:rPr>
      <w:b/>
      <w:bCs/>
      <w:color w:val="000000"/>
      <w:kern w:val="2"/>
      <w:sz w:val="28"/>
      <w:szCs w:val="24"/>
    </w:rPr>
  </w:style>
  <w:style w:type="character" w:customStyle="1" w:styleId="210">
    <w:name w:val="正文文本缩进 字符"/>
    <w:link w:val="20"/>
    <w:qFormat/>
    <w:uiPriority w:val="99"/>
    <w:rPr>
      <w:rFonts w:ascii="宋体"/>
      <w:sz w:val="24"/>
    </w:rPr>
  </w:style>
  <w:style w:type="character" w:customStyle="1" w:styleId="211">
    <w:name w:val="纯文本 字符1"/>
    <w:link w:val="24"/>
    <w:qFormat/>
    <w:uiPriority w:val="0"/>
    <w:rPr>
      <w:rFonts w:ascii="宋体" w:hAnsi="Courier New"/>
      <w:kern w:val="2"/>
      <w:sz w:val="21"/>
    </w:rPr>
  </w:style>
  <w:style w:type="character" w:customStyle="1" w:styleId="212">
    <w:name w:val="日期 字符"/>
    <w:link w:val="26"/>
    <w:qFormat/>
    <w:uiPriority w:val="0"/>
    <w:rPr>
      <w:color w:val="000000"/>
      <w:kern w:val="2"/>
      <w:sz w:val="24"/>
      <w:szCs w:val="24"/>
    </w:rPr>
  </w:style>
  <w:style w:type="character" w:customStyle="1" w:styleId="213">
    <w:name w:val="正文文本缩进 2 字符"/>
    <w:link w:val="27"/>
    <w:qFormat/>
    <w:uiPriority w:val="0"/>
    <w:rPr>
      <w:rFonts w:ascii="宋体"/>
      <w:sz w:val="24"/>
    </w:rPr>
  </w:style>
  <w:style w:type="character" w:customStyle="1" w:styleId="214">
    <w:name w:val="批注框文本 字符"/>
    <w:link w:val="28"/>
    <w:qFormat/>
    <w:uiPriority w:val="99"/>
    <w:rPr>
      <w:kern w:val="2"/>
      <w:sz w:val="18"/>
      <w:szCs w:val="18"/>
    </w:rPr>
  </w:style>
  <w:style w:type="character" w:customStyle="1" w:styleId="215">
    <w:name w:val="页脚 字符"/>
    <w:link w:val="29"/>
    <w:qFormat/>
    <w:uiPriority w:val="99"/>
    <w:rPr>
      <w:kern w:val="2"/>
      <w:sz w:val="18"/>
      <w:szCs w:val="18"/>
    </w:rPr>
  </w:style>
  <w:style w:type="character" w:customStyle="1" w:styleId="216">
    <w:name w:val="页眉 字符"/>
    <w:link w:val="30"/>
    <w:qFormat/>
    <w:uiPriority w:val="99"/>
    <w:rPr>
      <w:kern w:val="2"/>
      <w:sz w:val="18"/>
      <w:szCs w:val="18"/>
    </w:rPr>
  </w:style>
  <w:style w:type="character" w:customStyle="1" w:styleId="217">
    <w:name w:val="副标题 字符"/>
    <w:link w:val="33"/>
    <w:qFormat/>
    <w:uiPriority w:val="0"/>
    <w:rPr>
      <w:rFonts w:ascii="Cambria" w:hAnsi="Cambria"/>
      <w:b/>
      <w:bCs/>
      <w:kern w:val="28"/>
      <w:sz w:val="32"/>
      <w:szCs w:val="32"/>
    </w:rPr>
  </w:style>
  <w:style w:type="character" w:customStyle="1" w:styleId="218">
    <w:name w:val="正文文本缩进 3 字符"/>
    <w:link w:val="37"/>
    <w:qFormat/>
    <w:uiPriority w:val="0"/>
    <w:rPr>
      <w:rFonts w:eastAsia="黑体"/>
      <w:color w:val="000000"/>
      <w:kern w:val="2"/>
      <w:sz w:val="24"/>
      <w:szCs w:val="24"/>
    </w:rPr>
  </w:style>
  <w:style w:type="character" w:customStyle="1" w:styleId="219">
    <w:name w:val="HTML 预设格式 字符"/>
    <w:link w:val="42"/>
    <w:qFormat/>
    <w:uiPriority w:val="0"/>
    <w:rPr>
      <w:rFonts w:ascii="宋体" w:hAnsi="宋体" w:cs="宋体"/>
      <w:sz w:val="24"/>
      <w:szCs w:val="24"/>
    </w:rPr>
  </w:style>
  <w:style w:type="character" w:customStyle="1" w:styleId="220">
    <w:name w:val="标题 字符"/>
    <w:link w:val="45"/>
    <w:qFormat/>
    <w:uiPriority w:val="0"/>
    <w:rPr>
      <w:kern w:val="2"/>
      <w:sz w:val="30"/>
      <w:szCs w:val="24"/>
    </w:rPr>
  </w:style>
  <w:style w:type="character" w:customStyle="1" w:styleId="221">
    <w:name w:val="批注主题 字符"/>
    <w:link w:val="46"/>
    <w:qFormat/>
    <w:uiPriority w:val="99"/>
    <w:rPr>
      <w:b/>
      <w:bCs/>
      <w:kern w:val="2"/>
      <w:sz w:val="21"/>
    </w:rPr>
  </w:style>
  <w:style w:type="character" w:customStyle="1" w:styleId="222">
    <w:name w:val="正文文本首行缩进 字符"/>
    <w:link w:val="47"/>
    <w:qFormat/>
    <w:uiPriority w:val="0"/>
  </w:style>
  <w:style w:type="character" w:customStyle="1" w:styleId="223">
    <w:name w:val="标题 2 Char_0"/>
    <w:link w:val="58"/>
    <w:semiHidden/>
    <w:qFormat/>
    <w:uiPriority w:val="0"/>
    <w:rPr>
      <w:rFonts w:ascii="Cambria" w:hAnsi="Cambria" w:eastAsia="宋体"/>
      <w:b/>
      <w:bCs/>
      <w:kern w:val="2"/>
      <w:sz w:val="32"/>
      <w:szCs w:val="32"/>
      <w:lang w:bidi="ar-SA"/>
    </w:rPr>
  </w:style>
  <w:style w:type="character" w:customStyle="1" w:styleId="224">
    <w:name w:val="普通文字 Char Char2"/>
    <w:qFormat/>
    <w:uiPriority w:val="0"/>
    <w:rPr>
      <w:rFonts w:ascii="宋体" w:hAnsi="Courier New" w:eastAsia="宋体"/>
      <w:kern w:val="2"/>
      <w:sz w:val="21"/>
      <w:lang w:val="en-US" w:eastAsia="zh-CN" w:bidi="ar-SA"/>
    </w:rPr>
  </w:style>
  <w:style w:type="character" w:customStyle="1" w:styleId="225">
    <w:name w:val="unnamed51"/>
    <w:qFormat/>
    <w:uiPriority w:val="0"/>
    <w:rPr>
      <w:sz w:val="22"/>
      <w:szCs w:val="22"/>
    </w:rPr>
  </w:style>
  <w:style w:type="character" w:customStyle="1" w:styleId="226">
    <w:name w:val="font81"/>
    <w:qFormat/>
    <w:uiPriority w:val="0"/>
    <w:rPr>
      <w:rFonts w:hint="eastAsia" w:ascii="宋体" w:hAnsi="宋体" w:eastAsia="宋体" w:cs="宋体"/>
      <w:b/>
      <w:color w:val="000000"/>
      <w:sz w:val="24"/>
      <w:szCs w:val="24"/>
      <w:u w:val="none"/>
    </w:rPr>
  </w:style>
  <w:style w:type="character" w:customStyle="1" w:styleId="227">
    <w:name w:val="font91"/>
    <w:qFormat/>
    <w:uiPriority w:val="0"/>
    <w:rPr>
      <w:rFonts w:hint="eastAsia" w:ascii="宋体" w:hAnsi="宋体" w:eastAsia="宋体" w:cs="宋体"/>
      <w:color w:val="auto"/>
      <w:sz w:val="24"/>
      <w:szCs w:val="24"/>
      <w:u w:val="none"/>
    </w:rPr>
  </w:style>
  <w:style w:type="character" w:customStyle="1" w:styleId="228">
    <w:name w:val="Char Char3"/>
    <w:qFormat/>
    <w:uiPriority w:val="0"/>
    <w:rPr>
      <w:rFonts w:ascii="Arial" w:hAnsi="Arial" w:eastAsia="宋体"/>
      <w:b/>
      <w:bCs/>
      <w:kern w:val="2"/>
      <w:sz w:val="21"/>
      <w:szCs w:val="32"/>
      <w:lang w:val="en-US" w:eastAsia="zh-CN" w:bidi="ar-SA"/>
    </w:rPr>
  </w:style>
  <w:style w:type="character" w:customStyle="1" w:styleId="229">
    <w:name w:val="正文文本缩进 Char_0"/>
    <w:link w:val="60"/>
    <w:semiHidden/>
    <w:qFormat/>
    <w:uiPriority w:val="0"/>
    <w:rPr>
      <w:rFonts w:ascii="Calibri" w:hAnsi="Calibri" w:eastAsia="宋体"/>
      <w:kern w:val="2"/>
      <w:sz w:val="21"/>
      <w:szCs w:val="22"/>
      <w:lang w:val="en-US" w:eastAsia="zh-CN" w:bidi="ar-SA"/>
    </w:rPr>
  </w:style>
  <w:style w:type="character" w:customStyle="1" w:styleId="230">
    <w:name w:val="样式 宋体 四号"/>
    <w:qFormat/>
    <w:uiPriority w:val="0"/>
    <w:rPr>
      <w:rFonts w:hint="eastAsia" w:ascii="宋体" w:hAnsi="宋体" w:eastAsia="仿宋_GB2312"/>
      <w:sz w:val="28"/>
    </w:rPr>
  </w:style>
  <w:style w:type="character" w:styleId="231">
    <w:name w:val="Placeholder Text"/>
    <w:semiHidden/>
    <w:qFormat/>
    <w:uiPriority w:val="99"/>
    <w:rPr>
      <w:color w:val="808080"/>
    </w:rPr>
  </w:style>
  <w:style w:type="character" w:customStyle="1" w:styleId="232">
    <w:name w:val="zbggmain style9"/>
    <w:qFormat/>
    <w:uiPriority w:val="0"/>
  </w:style>
  <w:style w:type="character" w:customStyle="1" w:styleId="233">
    <w:name w:val="纯文本 Char_0"/>
    <w:link w:val="61"/>
    <w:qFormat/>
    <w:uiPriority w:val="0"/>
    <w:rPr>
      <w:rFonts w:ascii="宋体" w:hAnsi="Courier New" w:eastAsia="宋体"/>
      <w:kern w:val="2"/>
      <w:sz w:val="21"/>
      <w:szCs w:val="21"/>
      <w:lang w:bidi="ar-SA"/>
    </w:rPr>
  </w:style>
  <w:style w:type="character" w:customStyle="1" w:styleId="234">
    <w:name w:val="纯文本 Char1"/>
    <w:qFormat/>
    <w:uiPriority w:val="0"/>
    <w:rPr>
      <w:rFonts w:ascii="宋体" w:hAnsi="Courier New" w:cs="Courier New"/>
      <w:kern w:val="2"/>
      <w:sz w:val="21"/>
      <w:szCs w:val="21"/>
    </w:rPr>
  </w:style>
  <w:style w:type="character" w:customStyle="1" w:styleId="235">
    <w:name w:val="font61"/>
    <w:qFormat/>
    <w:uiPriority w:val="0"/>
    <w:rPr>
      <w:rFonts w:hint="eastAsia" w:ascii="宋体" w:hAnsi="宋体" w:eastAsia="宋体" w:cs="宋体"/>
      <w:color w:val="000000"/>
      <w:sz w:val="24"/>
      <w:szCs w:val="24"/>
      <w:u w:val="none"/>
    </w:rPr>
  </w:style>
  <w:style w:type="character" w:customStyle="1" w:styleId="236">
    <w:name w:val="彩色列表 - 强调文字颜色 1 Char"/>
    <w:link w:val="62"/>
    <w:qFormat/>
    <w:uiPriority w:val="0"/>
    <w:rPr>
      <w:kern w:val="2"/>
      <w:sz w:val="21"/>
      <w:szCs w:val="24"/>
    </w:rPr>
  </w:style>
  <w:style w:type="character" w:customStyle="1" w:styleId="237">
    <w:name w:val="样式1 Char Char"/>
    <w:link w:val="63"/>
    <w:qFormat/>
    <w:uiPriority w:val="0"/>
    <w:rPr>
      <w:rFonts w:ascii="Arial" w:hAnsi="Arial"/>
      <w:kern w:val="2"/>
      <w:sz w:val="21"/>
      <w:szCs w:val="24"/>
    </w:rPr>
  </w:style>
  <w:style w:type="character" w:customStyle="1" w:styleId="238">
    <w:name w:val="font01"/>
    <w:qFormat/>
    <w:uiPriority w:val="0"/>
    <w:rPr>
      <w:rFonts w:hint="eastAsia" w:ascii="宋体" w:hAnsi="宋体" w:eastAsia="宋体" w:cs="宋体"/>
      <w:color w:val="000000"/>
      <w:sz w:val="21"/>
      <w:szCs w:val="21"/>
      <w:u w:val="none"/>
    </w:rPr>
  </w:style>
  <w:style w:type="character" w:customStyle="1" w:styleId="239">
    <w:name w:val="标题 3 Char1"/>
    <w:qFormat/>
    <w:uiPriority w:val="0"/>
    <w:rPr>
      <w:kern w:val="2"/>
      <w:sz w:val="24"/>
    </w:rPr>
  </w:style>
  <w:style w:type="character" w:customStyle="1" w:styleId="240">
    <w:name w:val="普通文字 Char1"/>
    <w:qFormat/>
    <w:uiPriority w:val="0"/>
    <w:rPr>
      <w:rFonts w:ascii="宋体" w:hAnsi="Courier New" w:eastAsia="宋体"/>
      <w:kern w:val="2"/>
      <w:sz w:val="21"/>
      <w:lang w:val="en-US" w:eastAsia="zh-CN"/>
    </w:rPr>
  </w:style>
  <w:style w:type="character" w:customStyle="1" w:styleId="241">
    <w:name w:val="font51"/>
    <w:basedOn w:val="50"/>
    <w:qFormat/>
    <w:uiPriority w:val="0"/>
    <w:rPr>
      <w:rFonts w:hint="eastAsia" w:ascii="宋体" w:hAnsi="宋体" w:eastAsia="宋体" w:cs="宋体"/>
      <w:color w:val="auto"/>
      <w:sz w:val="24"/>
      <w:szCs w:val="24"/>
      <w:u w:val="none"/>
    </w:rPr>
  </w:style>
  <w:style w:type="character" w:customStyle="1" w:styleId="242">
    <w:name w:val="副标题 Char1"/>
    <w:qFormat/>
    <w:uiPriority w:val="0"/>
    <w:rPr>
      <w:rFonts w:ascii="Cambria" w:hAnsi="Cambria" w:cs="Times New Roman"/>
      <w:b/>
      <w:bCs/>
      <w:kern w:val="28"/>
      <w:sz w:val="32"/>
      <w:szCs w:val="32"/>
    </w:rPr>
  </w:style>
  <w:style w:type="character" w:customStyle="1" w:styleId="243">
    <w:name w:val="纯文本 字符"/>
    <w:qFormat/>
    <w:uiPriority w:val="0"/>
    <w:rPr>
      <w:rFonts w:ascii="宋体" w:hAnsi="Courier New" w:eastAsia="宋体"/>
      <w:kern w:val="2"/>
      <w:sz w:val="21"/>
      <w:lang w:val="en-US" w:eastAsia="zh-CN" w:bidi="ar-SA"/>
    </w:rPr>
  </w:style>
  <w:style w:type="character" w:customStyle="1" w:styleId="244">
    <w:name w:val="标准文本 Char"/>
    <w:link w:val="64"/>
    <w:qFormat/>
    <w:uiPriority w:val="99"/>
    <w:rPr>
      <w:rFonts w:cs="宋体"/>
      <w:kern w:val="2"/>
      <w:sz w:val="21"/>
      <w:szCs w:val="21"/>
    </w:rPr>
  </w:style>
  <w:style w:type="character" w:customStyle="1" w:styleId="245">
    <w:name w:val="无间隔 字符"/>
    <w:link w:val="65"/>
    <w:qFormat/>
    <w:uiPriority w:val="1"/>
    <w:rPr>
      <w:sz w:val="22"/>
      <w:szCs w:val="22"/>
      <w:lang w:val="en-US" w:eastAsia="zh-CN" w:bidi="ar-SA"/>
    </w:rPr>
  </w:style>
  <w:style w:type="character" w:customStyle="1" w:styleId="246">
    <w:name w:val="font71"/>
    <w:qFormat/>
    <w:uiPriority w:val="0"/>
    <w:rPr>
      <w:rFonts w:hint="eastAsia" w:ascii="宋体" w:hAnsi="宋体" w:eastAsia="宋体" w:cs="宋体"/>
      <w:color w:val="000000"/>
      <w:sz w:val="24"/>
      <w:szCs w:val="24"/>
      <w:u w:val="none"/>
    </w:rPr>
  </w:style>
  <w:style w:type="character" w:customStyle="1" w:styleId="247">
    <w:name w:val="样式1 Char"/>
    <w:qFormat/>
    <w:uiPriority w:val="0"/>
    <w:rPr>
      <w:rFonts w:ascii="Arial" w:hAnsi="Arial" w:eastAsia="宋体"/>
      <w:kern w:val="2"/>
      <w:sz w:val="21"/>
      <w:szCs w:val="24"/>
      <w:lang w:val="en-US" w:eastAsia="zh-CN" w:bidi="ar-SA"/>
    </w:rPr>
  </w:style>
  <w:style w:type="character" w:customStyle="1" w:styleId="248">
    <w:name w:val="font11"/>
    <w:basedOn w:val="50"/>
    <w:qFormat/>
    <w:uiPriority w:val="0"/>
    <w:rPr>
      <w:rFonts w:hint="eastAsia" w:ascii="宋体" w:hAnsi="宋体" w:eastAsia="宋体" w:cs="宋体"/>
      <w:color w:val="000000"/>
      <w:sz w:val="21"/>
      <w:szCs w:val="21"/>
      <w:u w:val="none"/>
    </w:rPr>
  </w:style>
  <w:style w:type="character" w:customStyle="1" w:styleId="249">
    <w:name w:val="Char Char Char"/>
    <w:link w:val="66"/>
    <w:qFormat/>
    <w:uiPriority w:val="0"/>
    <w:rPr>
      <w:rFonts w:ascii="宋体" w:hAnsi="宋体"/>
      <w:b/>
      <w:kern w:val="2"/>
      <w:sz w:val="21"/>
      <w:szCs w:val="21"/>
    </w:rPr>
  </w:style>
  <w:style w:type="character" w:customStyle="1" w:styleId="250">
    <w:name w:val="列出段落 Char"/>
    <w:link w:val="67"/>
    <w:qFormat/>
    <w:uiPriority w:val="34"/>
    <w:rPr>
      <w:kern w:val="2"/>
      <w:sz w:val="21"/>
      <w:szCs w:val="24"/>
      <w:lang w:bidi="ar-SA"/>
    </w:rPr>
  </w:style>
  <w:style w:type="character" w:customStyle="1" w:styleId="251">
    <w:name w:val="批注框文本 字符1"/>
    <w:qFormat/>
    <w:uiPriority w:val="0"/>
    <w:rPr>
      <w:kern w:val="2"/>
      <w:sz w:val="18"/>
      <w:szCs w:val="18"/>
    </w:rPr>
  </w:style>
  <w:style w:type="character" w:customStyle="1" w:styleId="252">
    <w:name w:val="自定义正文 Char"/>
    <w:link w:val="68"/>
    <w:qFormat/>
    <w:uiPriority w:val="0"/>
    <w:rPr>
      <w:rFonts w:ascii="仿宋_GB2312" w:eastAsia="仿宋_GB2312"/>
      <w:kern w:val="2"/>
      <w:sz w:val="24"/>
      <w:szCs w:val="24"/>
    </w:rPr>
  </w:style>
  <w:style w:type="character" w:customStyle="1" w:styleId="253">
    <w:name w:val="彩色列表 - 强调文字颜色 1 Char1"/>
    <w:link w:val="69"/>
    <w:qFormat/>
    <w:locked/>
    <w:uiPriority w:val="99"/>
    <w:rPr>
      <w:kern w:val="2"/>
      <w:sz w:val="21"/>
      <w:szCs w:val="24"/>
    </w:rPr>
  </w:style>
  <w:style w:type="character" w:customStyle="1" w:styleId="254">
    <w:name w:val="Blockquote Char Char"/>
    <w:link w:val="70"/>
    <w:qFormat/>
    <w:uiPriority w:val="0"/>
    <w:rPr>
      <w:sz w:val="24"/>
    </w:rPr>
  </w:style>
  <w:style w:type="character" w:customStyle="1" w:styleId="255">
    <w:name w:val="样式1 Char Char Char"/>
    <w:qFormat/>
    <w:uiPriority w:val="0"/>
    <w:rPr>
      <w:rFonts w:ascii="Arial" w:hAnsi="Arial" w:eastAsia="宋体"/>
      <w:kern w:val="2"/>
      <w:sz w:val="21"/>
      <w:szCs w:val="24"/>
      <w:lang w:val="en-US" w:eastAsia="zh-CN" w:bidi="ar-SA"/>
    </w:rPr>
  </w:style>
  <w:style w:type="character" w:customStyle="1" w:styleId="256">
    <w:name w:val="Char Char12"/>
    <w:qFormat/>
    <w:uiPriority w:val="0"/>
    <w:rPr>
      <w:rFonts w:ascii="Century Gothic" w:hAnsi="楷体_GB2312" w:eastAsia="Century Gothic" w:cs="楷体_GB2312"/>
      <w:kern w:val="2"/>
      <w:sz w:val="21"/>
      <w:szCs w:val="21"/>
      <w:lang w:val="en-US" w:eastAsia="zh-CN" w:bidi="ar-SA"/>
    </w:rPr>
  </w:style>
  <w:style w:type="paragraph" w:customStyle="1" w:styleId="257">
    <w:name w:val="无间隔1"/>
    <w:qFormat/>
    <w:uiPriority w:val="1"/>
    <w:pPr>
      <w:widowControl w:val="0"/>
      <w:ind w:firstLine="200" w:firstLineChars="200"/>
      <w:jc w:val="both"/>
    </w:pPr>
    <w:rPr>
      <w:rFonts w:ascii="Times New Roman" w:hAnsi="Times New Roman" w:eastAsia="宋体" w:cs="Times New Roman"/>
      <w:kern w:val="2"/>
      <w:sz w:val="24"/>
      <w:szCs w:val="22"/>
      <w:lang w:val="en-US" w:eastAsia="zh-CN" w:bidi="ar-SA"/>
    </w:rPr>
  </w:style>
  <w:style w:type="paragraph" w:customStyle="1" w:styleId="258">
    <w:name w:val="_Style 5"/>
    <w:basedOn w:val="1"/>
    <w:next w:val="1"/>
    <w:qFormat/>
    <w:uiPriority w:val="0"/>
    <w:pPr>
      <w:pBdr>
        <w:top w:val="single" w:color="auto" w:sz="6" w:space="1"/>
      </w:pBdr>
      <w:jc w:val="center"/>
    </w:pPr>
    <w:rPr>
      <w:rFonts w:ascii="Arial"/>
      <w:vanish/>
      <w:sz w:val="16"/>
    </w:rPr>
  </w:style>
  <w:style w:type="paragraph" w:customStyle="1" w:styleId="259">
    <w:name w:val="招标正文"/>
    <w:basedOn w:val="1"/>
    <w:qFormat/>
    <w:uiPriority w:val="0"/>
    <w:pPr>
      <w:spacing w:line="400" w:lineRule="exact"/>
      <w:ind w:firstLine="200" w:firstLineChars="200"/>
    </w:pPr>
    <w:rPr>
      <w:rFonts w:eastAsia="仿宋"/>
      <w:bCs/>
      <w:sz w:val="24"/>
      <w:szCs w:val="30"/>
    </w:rPr>
  </w:style>
  <w:style w:type="character" w:customStyle="1" w:styleId="260">
    <w:name w:val="font21"/>
    <w:basedOn w:val="50"/>
    <w:qFormat/>
    <w:uiPriority w:val="0"/>
    <w:rPr>
      <w:rFonts w:hint="eastAsia" w:ascii="宋体" w:hAnsi="宋体" w:eastAsia="宋体" w:cs="宋体"/>
      <w:b/>
      <w:bCs/>
      <w:color w:val="000000"/>
      <w:sz w:val="28"/>
      <w:szCs w:val="28"/>
      <w:u w:val="none"/>
    </w:rPr>
  </w:style>
  <w:style w:type="paragraph" w:customStyle="1" w:styleId="261">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45</Pages>
  <Words>14358</Words>
  <Characters>15667</Characters>
  <Lines>202</Lines>
  <Paragraphs>56</Paragraphs>
  <TotalTime>28</TotalTime>
  <ScaleCrop>false</ScaleCrop>
  <LinksUpToDate>false</LinksUpToDate>
  <CharactersWithSpaces>15860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2024-08-30T14:15:00Z</dcterms:created>
  <dc:creator>leovov</dc:creator>
  <cp:lastModifiedBy>简单点</cp:lastModifiedBy>
  <cp:lastPrinted>2018-07-13T02:27:00Z</cp:lastPrinted>
  <dcterms:modified xsi:type="dcterms:W3CDTF">2026-05-21T03:28:30Z</dcterms:modified>
  <dc:title>浙江水利水电学院</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B0F1537CF3D64082A7FE083BE5CA550F_13</vt:lpwstr>
  </property>
  <property fmtid="{D5CDD505-2E9C-101B-9397-08002B2CF9AE}" pid="4" name="woTemplateTypoMode">
    <vt:lpwstr>web</vt:lpwstr>
  </property>
  <property fmtid="{D5CDD505-2E9C-101B-9397-08002B2CF9AE}" pid="5" name="woTemplate">
    <vt:r8>1</vt:r8>
  </property>
  <property fmtid="{D5CDD505-2E9C-101B-9397-08002B2CF9AE}" pid="6" name="KSOTemplateDocerSaveRecord">
    <vt:lpwstr>eyJoZGlkIjoiZmU2MTQ2YzQ2ZmIzZWZhOGUwMGU4NTQyNjZmZGZiMGEiLCJ1c2VySWQiOiIxNTE3MDY5NzYwIn0=</vt:lpwstr>
  </property>
</Properties>
</file>